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spacing w:before="0"/>
        <w:ind w:left="0" w:right="0" w:firstLine="420"/>
        <w:rPr>
          <w:rFonts w:ascii="黑体" w:eastAsia="黑体"/>
          <w:sz w:val="44"/>
          <w:szCs w:val="48"/>
          <w:u w:val="single"/>
        </w:rPr>
      </w:pPr>
    </w:p>
    <w:p>
      <w:pPr>
        <w:pStyle w:val="24"/>
        <w:spacing w:before="0" w:line="360" w:lineRule="auto"/>
        <w:ind w:left="0" w:right="0" w:firstLine="0"/>
        <w:jc w:val="center"/>
        <w:rPr>
          <w:rFonts w:hint="eastAsia" w:ascii="黑体" w:eastAsia="黑体"/>
          <w:sz w:val="44"/>
          <w:szCs w:val="20"/>
          <w:lang w:eastAsia="zh-CN"/>
        </w:rPr>
      </w:pPr>
      <w:r>
        <w:rPr>
          <w:rFonts w:hint="eastAsia" w:ascii="黑体" w:eastAsia="黑体"/>
          <w:sz w:val="44"/>
          <w:szCs w:val="20"/>
          <w:lang w:eastAsia="zh-CN"/>
        </w:rPr>
        <w:t>南宁轨道交通2号线电客车转向架橡胶件委外检测项目（2022年-2023年）（重</w:t>
      </w:r>
      <w:r>
        <w:rPr>
          <w:rFonts w:hint="eastAsia" w:ascii="黑体" w:eastAsia="黑体"/>
          <w:sz w:val="44"/>
          <w:szCs w:val="20"/>
          <w:lang w:val="en-US" w:eastAsia="zh-CN"/>
        </w:rPr>
        <w:t>2</w:t>
      </w:r>
      <w:r>
        <w:rPr>
          <w:rFonts w:hint="eastAsia" w:ascii="黑体" w:eastAsia="黑体"/>
          <w:sz w:val="44"/>
          <w:szCs w:val="20"/>
          <w:lang w:eastAsia="zh-CN"/>
        </w:rPr>
        <w:t>）</w:t>
      </w:r>
    </w:p>
    <w:p>
      <w:pPr>
        <w:spacing w:before="0"/>
        <w:ind w:right="-57"/>
        <w:jc w:val="center"/>
        <w:rPr>
          <w:rFonts w:ascii="宋体" w:hAnsi="宋体"/>
          <w:sz w:val="72"/>
          <w:szCs w:val="72"/>
        </w:rPr>
      </w:pPr>
    </w:p>
    <w:p>
      <w:pPr>
        <w:spacing w:before="0"/>
        <w:ind w:right="-57"/>
        <w:jc w:val="center"/>
        <w:rPr>
          <w:rFonts w:ascii="宋体" w:hAnsi="宋体"/>
          <w:sz w:val="32"/>
          <w:szCs w:val="32"/>
        </w:rPr>
      </w:pPr>
      <w:r>
        <w:rPr>
          <w:rFonts w:hint="eastAsia" w:ascii="宋体" w:hAnsi="宋体"/>
          <w:sz w:val="72"/>
          <w:szCs w:val="72"/>
        </w:rPr>
        <w:t>比选</w:t>
      </w:r>
      <w:r>
        <w:rPr>
          <w:rFonts w:ascii="宋体" w:hAnsi="宋体"/>
          <w:sz w:val="72"/>
          <w:szCs w:val="72"/>
        </w:rPr>
        <w:t>文件</w:t>
      </w:r>
    </w:p>
    <w:p>
      <w:pPr>
        <w:pStyle w:val="2"/>
        <w:ind w:left="0" w:firstLine="0"/>
        <w:rPr>
          <w:rFonts w:hAnsi="宋体"/>
          <w:b/>
          <w:sz w:val="32"/>
          <w:szCs w:val="32"/>
        </w:rPr>
      </w:pPr>
    </w:p>
    <w:p>
      <w:pPr>
        <w:spacing w:before="0"/>
        <w:ind w:left="1801" w:right="-57" w:hanging="180"/>
        <w:rPr>
          <w:rFonts w:ascii="宋体" w:hAnsi="宋体"/>
          <w:b/>
          <w:sz w:val="32"/>
          <w:szCs w:val="32"/>
          <w:u w:val="single"/>
        </w:rPr>
      </w:pPr>
      <w:r>
        <w:rPr>
          <w:rFonts w:hint="eastAsia" w:ascii="宋体" w:hAnsi="宋体"/>
          <w:b/>
          <w:sz w:val="32"/>
          <w:szCs w:val="32"/>
        </w:rPr>
        <w:t>项目编号：</w:t>
      </w:r>
      <w:r>
        <w:rPr>
          <w:rFonts w:hint="eastAsia" w:ascii="宋体" w:hAnsi="宋体"/>
          <w:b/>
          <w:sz w:val="32"/>
          <w:szCs w:val="32"/>
          <w:u w:val="single"/>
        </w:rPr>
        <w:t xml:space="preserve">   202211080002</w:t>
      </w:r>
      <w:r>
        <w:rPr>
          <w:rFonts w:hint="eastAsia" w:ascii="宋体" w:hAnsi="宋体"/>
          <w:b/>
          <w:sz w:val="32"/>
          <w:szCs w:val="32"/>
          <w:u w:val="single"/>
          <w:lang w:eastAsia="zh-CN"/>
        </w:rPr>
        <w:t>（重</w:t>
      </w:r>
      <w:r>
        <w:rPr>
          <w:rFonts w:hint="eastAsia" w:ascii="宋体" w:hAnsi="宋体"/>
          <w:b/>
          <w:sz w:val="32"/>
          <w:szCs w:val="32"/>
          <w:u w:val="single"/>
          <w:lang w:val="en-US" w:eastAsia="zh-CN"/>
        </w:rPr>
        <w:t>2</w:t>
      </w:r>
      <w:r>
        <w:rPr>
          <w:rFonts w:hint="eastAsia" w:ascii="宋体" w:hAnsi="宋体"/>
          <w:b/>
          <w:sz w:val="32"/>
          <w:szCs w:val="32"/>
          <w:u w:val="single"/>
          <w:lang w:eastAsia="zh-CN"/>
        </w:rPr>
        <w:t>）</w:t>
      </w:r>
      <w:r>
        <w:rPr>
          <w:rFonts w:hint="eastAsia" w:ascii="宋体" w:hAnsi="宋体"/>
          <w:b/>
          <w:sz w:val="32"/>
          <w:szCs w:val="32"/>
          <w:u w:val="single"/>
        </w:rPr>
        <w:t xml:space="preserve">  </w:t>
      </w:r>
    </w:p>
    <w:p>
      <w:pPr>
        <w:spacing w:before="0"/>
        <w:ind w:left="1801" w:right="-57" w:hanging="180"/>
        <w:rPr>
          <w:rFonts w:hint="default" w:ascii="宋体" w:hAnsi="宋体" w:eastAsia="宋体"/>
          <w:b/>
          <w:sz w:val="32"/>
          <w:szCs w:val="32"/>
          <w:u w:val="single"/>
          <w:lang w:val="en-US" w:eastAsia="zh-CN"/>
        </w:rPr>
      </w:pPr>
      <w:r>
        <w:rPr>
          <w:rFonts w:hint="eastAsia" w:ascii="宋体" w:hAnsi="宋体"/>
          <w:b/>
          <w:sz w:val="32"/>
          <w:szCs w:val="32"/>
        </w:rPr>
        <w:t>比选人</w:t>
      </w:r>
      <w:r>
        <w:rPr>
          <w:rFonts w:ascii="宋体" w:hAnsi="宋体"/>
          <w:b/>
          <w:sz w:val="32"/>
          <w:szCs w:val="32"/>
        </w:rPr>
        <w:t>：</w:t>
      </w:r>
      <w:r>
        <w:rPr>
          <w:rFonts w:hint="eastAsia" w:ascii="宋体" w:hAnsi="宋体"/>
          <w:b/>
          <w:sz w:val="32"/>
          <w:szCs w:val="32"/>
          <w:lang w:val="en-US" w:eastAsia="zh-CN"/>
        </w:rPr>
        <w:t xml:space="preserve"> </w:t>
      </w:r>
      <w:r>
        <w:rPr>
          <w:rFonts w:hint="eastAsia" w:ascii="宋体" w:hAnsi="宋体"/>
          <w:b/>
          <w:sz w:val="32"/>
          <w:szCs w:val="32"/>
          <w:u w:val="single"/>
        </w:rPr>
        <w:t>南宁轨道交通运营有限公司</w:t>
      </w:r>
      <w:r>
        <w:rPr>
          <w:rFonts w:hint="eastAsia" w:ascii="宋体" w:hAnsi="宋体"/>
          <w:b/>
          <w:sz w:val="32"/>
          <w:szCs w:val="32"/>
          <w:u w:val="single"/>
          <w:lang w:val="en-US" w:eastAsia="zh-CN"/>
        </w:rPr>
        <w:t xml:space="preserve">  </w:t>
      </w:r>
    </w:p>
    <w:p>
      <w:pPr>
        <w:spacing w:before="0"/>
        <w:ind w:right="-57" w:firstLine="435"/>
        <w:jc w:val="center"/>
        <w:rPr>
          <w:rFonts w:ascii="宋体" w:hAnsi="宋体"/>
          <w:sz w:val="30"/>
          <w:szCs w:val="30"/>
        </w:rPr>
      </w:pPr>
    </w:p>
    <w:p>
      <w:pPr>
        <w:spacing w:before="0"/>
        <w:ind w:right="-57" w:firstLine="0"/>
        <w:jc w:val="center"/>
        <w:rPr>
          <w:rFonts w:ascii="宋体" w:hAnsi="宋体" w:cs="宋体"/>
          <w:b/>
          <w:sz w:val="36"/>
          <w:szCs w:val="36"/>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r>
        <w:rPr>
          <w:rFonts w:hint="eastAsia" w:ascii="宋体" w:hAnsi="宋体"/>
          <w:b/>
          <w:sz w:val="36"/>
          <w:szCs w:val="36"/>
          <w:u w:val="single"/>
        </w:rPr>
        <w:t>2023</w:t>
      </w:r>
      <w:r>
        <w:rPr>
          <w:rFonts w:ascii="宋体" w:hAnsi="宋体"/>
          <w:b/>
          <w:sz w:val="36"/>
          <w:szCs w:val="36"/>
        </w:rPr>
        <w:t>年</w:t>
      </w:r>
      <w:r>
        <w:rPr>
          <w:rFonts w:hint="eastAsia" w:ascii="宋体" w:hAnsi="宋体"/>
          <w:b/>
          <w:sz w:val="36"/>
          <w:szCs w:val="36"/>
          <w:u w:val="single"/>
          <w:lang w:val="en-US" w:eastAsia="zh-CN"/>
        </w:rPr>
        <w:t>9</w:t>
      </w:r>
      <w:r>
        <w:rPr>
          <w:rFonts w:ascii="宋体" w:hAnsi="宋体"/>
          <w:b/>
          <w:sz w:val="36"/>
          <w:szCs w:val="36"/>
        </w:rPr>
        <w:t>月</w:t>
      </w:r>
      <w:r>
        <w:rPr>
          <w:rFonts w:hint="eastAsia" w:ascii="宋体" w:hAnsi="宋体"/>
          <w:b/>
          <w:sz w:val="36"/>
          <w:szCs w:val="36"/>
        </w:rPr>
        <w:t xml:space="preserve"> </w:t>
      </w:r>
    </w:p>
    <w:sdt>
      <w:sdtPr>
        <w:rPr>
          <w:rFonts w:ascii="宋体" w:hAnsi="宋体" w:cs="宋体"/>
          <w:b/>
          <w:bCs/>
          <w:sz w:val="28"/>
          <w:szCs w:val="28"/>
        </w:rPr>
        <w:id w:val="147455528"/>
        <w:docPartObj>
          <w:docPartGallery w:val="Table of Contents"/>
          <w:docPartUnique/>
        </w:docPartObj>
      </w:sdtPr>
      <w:sdtEndPr>
        <w:rPr>
          <w:rFonts w:ascii="宋体" w:hAnsi="宋体" w:cs="宋体"/>
          <w:b/>
          <w:bCs/>
          <w:sz w:val="20"/>
          <w:szCs w:val="20"/>
        </w:rPr>
      </w:sdtEndPr>
      <w:sdtContent>
        <w:p>
          <w:pPr>
            <w:spacing w:before="0" w:after="0" w:line="240" w:lineRule="auto"/>
            <w:ind w:left="0" w:right="0" w:firstLine="0"/>
            <w:jc w:val="center"/>
            <w:rPr>
              <w:b/>
              <w:bCs/>
              <w:sz w:val="28"/>
              <w:szCs w:val="28"/>
            </w:rPr>
          </w:pPr>
          <w:r>
            <w:rPr>
              <w:rFonts w:ascii="宋体" w:hAnsi="宋体"/>
              <w:b/>
              <w:bCs/>
              <w:sz w:val="28"/>
              <w:szCs w:val="28"/>
            </w:rPr>
            <w:t>目录</w:t>
          </w:r>
        </w:p>
        <w:p>
          <w:pPr>
            <w:pStyle w:val="17"/>
            <w:tabs>
              <w:tab w:val="right" w:leader="dot" w:pos="9071"/>
            </w:tabs>
          </w:pPr>
          <w:r>
            <w:rPr>
              <w:rFonts w:ascii="宋体" w:hAnsi="宋体"/>
              <w:b/>
              <w:bCs/>
            </w:rPr>
            <w:fldChar w:fldCharType="begin"/>
          </w:r>
          <w:r>
            <w:rPr>
              <w:rFonts w:ascii="宋体" w:hAnsi="宋体"/>
              <w:b/>
              <w:bCs/>
            </w:rPr>
            <w:instrText xml:space="preserve">TOC \o "1-2" \h \u </w:instrText>
          </w:r>
          <w:r>
            <w:rPr>
              <w:rFonts w:ascii="宋体" w:hAnsi="宋体"/>
              <w:b/>
              <w:bCs/>
            </w:rPr>
            <w:fldChar w:fldCharType="separate"/>
          </w:r>
          <w:r>
            <w:rPr>
              <w:rFonts w:hAnsi="宋体"/>
              <w:bCs/>
            </w:rPr>
            <w:fldChar w:fldCharType="begin"/>
          </w:r>
          <w:r>
            <w:rPr>
              <w:rFonts w:hAnsi="宋体"/>
              <w:bCs/>
            </w:rPr>
            <w:instrText xml:space="preserve"> HYPERLINK \l _Toc709 </w:instrText>
          </w:r>
          <w:r>
            <w:rPr>
              <w:rFonts w:hAnsi="宋体"/>
              <w:bCs/>
            </w:rPr>
            <w:fldChar w:fldCharType="separate"/>
          </w:r>
          <w:r>
            <w:rPr>
              <w:rFonts w:hint="eastAsia" w:ascii="宋体" w:hAnsi="宋体" w:eastAsia="宋体"/>
            </w:rPr>
            <w:t>第一章比选公告</w:t>
          </w:r>
          <w:r>
            <w:tab/>
          </w:r>
          <w:r>
            <w:fldChar w:fldCharType="begin"/>
          </w:r>
          <w:r>
            <w:instrText xml:space="preserve"> PAGEREF _Toc709 \h </w:instrText>
          </w:r>
          <w:r>
            <w:fldChar w:fldCharType="separate"/>
          </w:r>
          <w:r>
            <w:t>1</w:t>
          </w:r>
          <w:r>
            <w:fldChar w:fldCharType="end"/>
          </w:r>
          <w:r>
            <w:rPr>
              <w:rFonts w:hAnsi="宋体"/>
              <w:bCs/>
            </w:rPr>
            <w:fldChar w:fldCharType="end"/>
          </w:r>
        </w:p>
        <w:p>
          <w:pPr>
            <w:pStyle w:val="17"/>
            <w:tabs>
              <w:tab w:val="right" w:leader="dot" w:pos="9071"/>
            </w:tabs>
          </w:pPr>
          <w:r>
            <w:rPr>
              <w:rFonts w:hAnsi="宋体"/>
              <w:bCs/>
            </w:rPr>
            <w:fldChar w:fldCharType="begin"/>
          </w:r>
          <w:r>
            <w:rPr>
              <w:rFonts w:hAnsi="宋体"/>
              <w:bCs/>
            </w:rPr>
            <w:instrText xml:space="preserve"> HYPERLINK \l _Toc11662 </w:instrText>
          </w:r>
          <w:r>
            <w:rPr>
              <w:rFonts w:hAnsi="宋体"/>
              <w:bCs/>
            </w:rPr>
            <w:fldChar w:fldCharType="separate"/>
          </w:r>
          <w:r>
            <w:rPr>
              <w:rFonts w:hint="eastAsia" w:ascii="宋体" w:hAnsi="宋体" w:eastAsia="宋体"/>
            </w:rPr>
            <w:t>第二章比选申请须知</w:t>
          </w:r>
          <w:r>
            <w:tab/>
          </w:r>
          <w:r>
            <w:fldChar w:fldCharType="begin"/>
          </w:r>
          <w:r>
            <w:instrText xml:space="preserve"> PAGEREF _Toc11662 \h </w:instrText>
          </w:r>
          <w:r>
            <w:fldChar w:fldCharType="separate"/>
          </w:r>
          <w:r>
            <w:t>3</w:t>
          </w:r>
          <w:r>
            <w:fldChar w:fldCharType="end"/>
          </w:r>
          <w:r>
            <w:rPr>
              <w:rFonts w:hAnsi="宋体"/>
              <w:bCs/>
            </w:rPr>
            <w:fldChar w:fldCharType="end"/>
          </w:r>
        </w:p>
        <w:p>
          <w:pPr>
            <w:pStyle w:val="17"/>
            <w:tabs>
              <w:tab w:val="right" w:leader="dot" w:pos="9071"/>
            </w:tabs>
          </w:pPr>
          <w:r>
            <w:rPr>
              <w:rFonts w:hAnsi="宋体"/>
              <w:bCs/>
            </w:rPr>
            <w:fldChar w:fldCharType="begin"/>
          </w:r>
          <w:r>
            <w:rPr>
              <w:rFonts w:hAnsi="宋体"/>
              <w:bCs/>
            </w:rPr>
            <w:instrText xml:space="preserve"> HYPERLINK \l _Toc17300 </w:instrText>
          </w:r>
          <w:r>
            <w:rPr>
              <w:rFonts w:hAnsi="宋体"/>
              <w:bCs/>
            </w:rPr>
            <w:fldChar w:fldCharType="separate"/>
          </w:r>
          <w:r>
            <w:rPr>
              <w:rFonts w:hint="eastAsia" w:ascii="宋体" w:hAnsi="宋体" w:eastAsia="宋体"/>
            </w:rPr>
            <w:t>第三章合同条款及格式</w:t>
          </w:r>
          <w:r>
            <w:tab/>
          </w:r>
          <w:r>
            <w:fldChar w:fldCharType="begin"/>
          </w:r>
          <w:r>
            <w:instrText xml:space="preserve"> PAGEREF _Toc17300 \h </w:instrText>
          </w:r>
          <w:r>
            <w:fldChar w:fldCharType="separate"/>
          </w:r>
          <w:r>
            <w:t>16</w:t>
          </w:r>
          <w:r>
            <w:fldChar w:fldCharType="end"/>
          </w:r>
          <w:r>
            <w:rPr>
              <w:rFonts w:hAnsi="宋体"/>
              <w:bCs/>
            </w:rPr>
            <w:fldChar w:fldCharType="end"/>
          </w:r>
        </w:p>
        <w:p>
          <w:pPr>
            <w:pStyle w:val="17"/>
            <w:tabs>
              <w:tab w:val="right" w:leader="dot" w:pos="9071"/>
            </w:tabs>
          </w:pPr>
          <w:r>
            <w:rPr>
              <w:rFonts w:hAnsi="宋体"/>
              <w:bCs/>
            </w:rPr>
            <w:fldChar w:fldCharType="begin"/>
          </w:r>
          <w:r>
            <w:rPr>
              <w:rFonts w:hAnsi="宋体"/>
              <w:bCs/>
            </w:rPr>
            <w:instrText xml:space="preserve"> HYPERLINK \l _Toc24227 </w:instrText>
          </w:r>
          <w:r>
            <w:rPr>
              <w:rFonts w:hAnsi="宋体"/>
              <w:bCs/>
            </w:rPr>
            <w:fldChar w:fldCharType="separate"/>
          </w:r>
          <w:r>
            <w:rPr>
              <w:rFonts w:hint="eastAsia" w:ascii="宋体" w:hAnsi="宋体" w:eastAsia="宋体"/>
            </w:rPr>
            <w:t>第四章比选申请文件格式</w:t>
          </w:r>
          <w:r>
            <w:tab/>
          </w:r>
          <w:r>
            <w:fldChar w:fldCharType="begin"/>
          </w:r>
          <w:r>
            <w:instrText xml:space="preserve"> PAGEREF _Toc24227 \h </w:instrText>
          </w:r>
          <w:r>
            <w:fldChar w:fldCharType="separate"/>
          </w:r>
          <w:r>
            <w:t>29</w:t>
          </w:r>
          <w:r>
            <w:fldChar w:fldCharType="end"/>
          </w:r>
          <w:r>
            <w:rPr>
              <w:rFonts w:hAnsi="宋体"/>
              <w:bCs/>
            </w:rPr>
            <w:fldChar w:fldCharType="end"/>
          </w:r>
        </w:p>
        <w:p>
          <w:pPr>
            <w:pStyle w:val="17"/>
            <w:tabs>
              <w:tab w:val="right" w:leader="dot" w:pos="9071"/>
            </w:tabs>
          </w:pPr>
          <w:r>
            <w:rPr>
              <w:rFonts w:hAnsi="宋体"/>
              <w:bCs/>
            </w:rPr>
            <w:fldChar w:fldCharType="begin"/>
          </w:r>
          <w:r>
            <w:rPr>
              <w:rFonts w:hAnsi="宋体"/>
              <w:bCs/>
            </w:rPr>
            <w:instrText xml:space="preserve"> HYPERLINK \l _Toc5195 </w:instrText>
          </w:r>
          <w:r>
            <w:rPr>
              <w:rFonts w:hAnsi="宋体"/>
              <w:bCs/>
            </w:rPr>
            <w:fldChar w:fldCharType="separate"/>
          </w:r>
          <w:r>
            <w:rPr>
              <w:rFonts w:hint="eastAsia" w:ascii="宋体" w:hAnsi="宋体" w:eastAsia="宋体"/>
            </w:rPr>
            <w:t>第五章用户需求书</w:t>
          </w:r>
          <w:r>
            <w:tab/>
          </w:r>
          <w:r>
            <w:fldChar w:fldCharType="begin"/>
          </w:r>
          <w:r>
            <w:instrText xml:space="preserve"> PAGEREF _Toc5195 \h </w:instrText>
          </w:r>
          <w:r>
            <w:fldChar w:fldCharType="separate"/>
          </w:r>
          <w:r>
            <w:t>43</w:t>
          </w:r>
          <w:r>
            <w:fldChar w:fldCharType="end"/>
          </w:r>
          <w:r>
            <w:rPr>
              <w:rFonts w:hAnsi="宋体"/>
              <w:bCs/>
            </w:rPr>
            <w:fldChar w:fldCharType="end"/>
          </w:r>
        </w:p>
        <w:p>
          <w:pPr>
            <w:pStyle w:val="17"/>
            <w:tabs>
              <w:tab w:val="right" w:leader="dot" w:pos="9071"/>
            </w:tabs>
          </w:pPr>
          <w:r>
            <w:rPr>
              <w:rFonts w:hAnsi="宋体"/>
              <w:bCs/>
            </w:rPr>
            <w:fldChar w:fldCharType="begin"/>
          </w:r>
          <w:r>
            <w:rPr>
              <w:rFonts w:hAnsi="宋体"/>
              <w:bCs/>
            </w:rPr>
            <w:instrText xml:space="preserve"> HYPERLINK \l _Toc9094 </w:instrText>
          </w:r>
          <w:r>
            <w:rPr>
              <w:rFonts w:hAnsi="宋体"/>
              <w:bCs/>
            </w:rPr>
            <w:fldChar w:fldCharType="separate"/>
          </w:r>
          <w:r>
            <w:rPr>
              <w:rFonts w:hint="eastAsia" w:ascii="宋体" w:hAnsi="宋体" w:eastAsia="宋体"/>
            </w:rPr>
            <w:t>第六章评分办法</w:t>
          </w:r>
          <w:r>
            <w:tab/>
          </w:r>
          <w:r>
            <w:fldChar w:fldCharType="begin"/>
          </w:r>
          <w:r>
            <w:instrText xml:space="preserve"> PAGEREF _Toc9094 \h </w:instrText>
          </w:r>
          <w:r>
            <w:fldChar w:fldCharType="separate"/>
          </w:r>
          <w:r>
            <w:t>49</w:t>
          </w:r>
          <w:r>
            <w:fldChar w:fldCharType="end"/>
          </w:r>
          <w:r>
            <w:rPr>
              <w:rFonts w:hAnsi="宋体"/>
              <w:bCs/>
            </w:rPr>
            <w:fldChar w:fldCharType="end"/>
          </w:r>
        </w:p>
        <w:p>
          <w:pPr>
            <w:pStyle w:val="2"/>
            <w:rPr>
              <w:rFonts w:hAnsi="宋体"/>
              <w:b/>
              <w:bCs/>
            </w:rPr>
          </w:pPr>
          <w:r>
            <w:rPr>
              <w:rFonts w:hAnsi="宋体"/>
              <w:bCs/>
            </w:rPr>
            <w:fldChar w:fldCharType="end"/>
          </w:r>
        </w:p>
      </w:sdtContent>
    </w:sdt>
    <w:p/>
    <w:p/>
    <w:p/>
    <w:p/>
    <w:p>
      <w:pPr>
        <w:tabs>
          <w:tab w:val="left" w:pos="2302"/>
        </w:tabs>
        <w:jc w:val="left"/>
        <w:sectPr>
          <w:footerReference r:id="rId7" w:type="default"/>
          <w:pgSz w:w="11905" w:h="16838"/>
          <w:pgMar w:top="1417" w:right="1417" w:bottom="1417" w:left="1417" w:header="454" w:footer="567" w:gutter="0"/>
          <w:cols w:space="720" w:num="1"/>
          <w:docGrid w:linePitch="312" w:charSpace="0"/>
        </w:sectPr>
      </w:pPr>
      <w:r>
        <w:rPr>
          <w:rFonts w:hint="eastAsia"/>
        </w:rPr>
        <w:tab/>
      </w:r>
    </w:p>
    <w:p>
      <w:pPr>
        <w:pStyle w:val="2"/>
        <w:pageBreakBefore/>
        <w:ind w:right="-57" w:firstLine="0"/>
        <w:jc w:val="center"/>
        <w:outlineLvl w:val="0"/>
        <w:rPr>
          <w:rStyle w:val="42"/>
          <w:rFonts w:ascii="宋体" w:hAnsi="宋体" w:eastAsia="宋体"/>
        </w:rPr>
      </w:pPr>
      <w:bookmarkStart w:id="0" w:name="_Toc15449"/>
      <w:bookmarkStart w:id="1" w:name="_Toc9880"/>
      <w:bookmarkStart w:id="2" w:name="_Toc28378"/>
      <w:bookmarkStart w:id="3" w:name="_Toc25355"/>
      <w:bookmarkStart w:id="4" w:name="_Toc481"/>
      <w:bookmarkStart w:id="5" w:name="_Toc22132"/>
      <w:bookmarkStart w:id="6" w:name="_Toc3658"/>
      <w:bookmarkStart w:id="7" w:name="_Toc23367"/>
      <w:bookmarkStart w:id="8" w:name="_Toc26620"/>
      <w:bookmarkStart w:id="9" w:name="_Toc8716"/>
      <w:bookmarkStart w:id="10" w:name="_Toc237"/>
      <w:bookmarkStart w:id="11" w:name="_Toc709"/>
      <w:bookmarkStart w:id="12" w:name="_Toc375039061"/>
      <w:bookmarkStart w:id="13" w:name="_Toc5910"/>
      <w:bookmarkStart w:id="14" w:name="_Toc492478714"/>
      <w:bookmarkStart w:id="15" w:name="_Toc3400"/>
      <w:bookmarkStart w:id="16" w:name="_Toc23476"/>
      <w:bookmarkStart w:id="17" w:name="_Toc14762"/>
      <w:bookmarkStart w:id="18" w:name="_Toc26192"/>
      <w:bookmarkStart w:id="19" w:name="_Toc1227"/>
      <w:bookmarkStart w:id="20" w:name="_Toc25750588"/>
      <w:bookmarkStart w:id="21" w:name="_Toc30647"/>
      <w:bookmarkStart w:id="22" w:name="_Toc15211"/>
      <w:bookmarkStart w:id="23" w:name="_Toc26939"/>
      <w:bookmarkStart w:id="24" w:name="_Toc1363"/>
      <w:bookmarkStart w:id="25" w:name="_Toc17906"/>
      <w:r>
        <w:rPr>
          <w:rStyle w:val="42"/>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pacing w:before="0" w:after="0" w:afterAutospacing="0"/>
        <w:ind w:right="-57"/>
        <w:jc w:val="center"/>
        <w:outlineLvl w:val="2"/>
        <w:rPr>
          <w:rFonts w:hint="eastAsia" w:ascii="宋体" w:hAnsi="宋体"/>
          <w:b/>
          <w:sz w:val="28"/>
          <w:szCs w:val="28"/>
          <w:u w:val="single"/>
          <w:lang w:eastAsia="zh-CN"/>
        </w:rPr>
      </w:pPr>
      <w:bookmarkStart w:id="26" w:name="_Toc15834"/>
      <w:r>
        <w:rPr>
          <w:rFonts w:hint="eastAsia" w:ascii="宋体" w:hAnsi="宋体"/>
          <w:b/>
          <w:sz w:val="28"/>
          <w:szCs w:val="28"/>
          <w:u w:val="single"/>
          <w:lang w:eastAsia="zh-CN"/>
        </w:rPr>
        <w:t>南宁轨道交通2号线电客车转向架橡胶件委外检测项目</w:t>
      </w:r>
    </w:p>
    <w:p>
      <w:pPr>
        <w:spacing w:before="0" w:after="0" w:afterAutospacing="0"/>
        <w:ind w:right="-57"/>
        <w:jc w:val="center"/>
        <w:outlineLvl w:val="2"/>
        <w:rPr>
          <w:rFonts w:ascii="宋体" w:hAnsi="宋体"/>
          <w:b/>
          <w:sz w:val="28"/>
          <w:szCs w:val="28"/>
        </w:rPr>
      </w:pPr>
      <w:r>
        <w:rPr>
          <w:rFonts w:hint="eastAsia" w:ascii="宋体" w:hAnsi="宋体"/>
          <w:b/>
          <w:sz w:val="28"/>
          <w:szCs w:val="28"/>
          <w:u w:val="single"/>
          <w:lang w:eastAsia="zh-CN"/>
        </w:rPr>
        <w:t>（2022年-2023年）（重2）</w:t>
      </w:r>
      <w:r>
        <w:rPr>
          <w:rFonts w:hint="eastAsia" w:ascii="宋体" w:hAnsi="宋体"/>
          <w:b/>
          <w:sz w:val="28"/>
          <w:szCs w:val="28"/>
        </w:rPr>
        <w:t>比选公告</w:t>
      </w:r>
      <w:bookmarkEnd w:id="26"/>
    </w:p>
    <w:p>
      <w:pPr>
        <w:spacing w:before="0" w:after="0" w:afterAutospacing="0"/>
        <w:ind w:left="0" w:right="0" w:firstLine="422" w:firstLineChars="200"/>
        <w:outlineLvl w:val="2"/>
        <w:rPr>
          <w:rFonts w:ascii="宋体" w:hAnsi="宋体"/>
          <w:b/>
        </w:rPr>
      </w:pPr>
      <w:bookmarkStart w:id="27" w:name="OLE_LINK4"/>
      <w:bookmarkEnd w:id="27"/>
      <w:bookmarkStart w:id="28" w:name="_Toc427"/>
      <w:r>
        <w:rPr>
          <w:rFonts w:hint="eastAsia" w:ascii="宋体" w:hAnsi="宋体"/>
          <w:b/>
        </w:rPr>
        <w:t>1.比选条件</w:t>
      </w:r>
      <w:bookmarkEnd w:id="28"/>
    </w:p>
    <w:p>
      <w:pPr>
        <w:spacing w:before="0" w:after="0" w:afterAutospacing="0"/>
        <w:ind w:left="0" w:right="0" w:firstLine="420" w:firstLineChars="200"/>
        <w:rPr>
          <w:rFonts w:ascii="宋体" w:hAnsi="宋体"/>
        </w:rPr>
      </w:pPr>
      <w:r>
        <w:rPr>
          <w:rFonts w:hint="eastAsia" w:ascii="宋体" w:hAnsi="宋体"/>
        </w:rPr>
        <w:t>本比选项目</w:t>
      </w:r>
      <w:r>
        <w:rPr>
          <w:rFonts w:hint="eastAsia" w:ascii="宋体" w:hAnsi="宋体"/>
          <w:u w:val="single"/>
          <w:lang w:eastAsia="zh-CN"/>
        </w:rPr>
        <w:t>南宁轨道交通2号线电客车转向架橡胶件委外检测项目（2022年-2023年）（重2）</w:t>
      </w:r>
      <w:r>
        <w:rPr>
          <w:rFonts w:hint="eastAsia" w:ascii="宋体" w:hAnsi="宋体"/>
        </w:rPr>
        <w:t>比选人为</w:t>
      </w:r>
      <w:r>
        <w:rPr>
          <w:rFonts w:hint="eastAsia" w:ascii="宋体" w:hAnsi="宋体"/>
          <w:u w:val="single"/>
        </w:rPr>
        <w:t>南宁轨道交通运营有限公司</w:t>
      </w:r>
      <w:r>
        <w:rPr>
          <w:rFonts w:hint="eastAsia" w:ascii="宋体" w:hAnsi="宋体"/>
        </w:rPr>
        <w:t>，比选项目资金来源为企业自有资金。</w:t>
      </w:r>
    </w:p>
    <w:p>
      <w:pPr>
        <w:spacing w:before="0" w:after="0" w:afterAutospacing="0"/>
        <w:ind w:left="0" w:right="0" w:firstLine="422" w:firstLineChars="200"/>
        <w:outlineLvl w:val="2"/>
        <w:rPr>
          <w:rFonts w:ascii="宋体" w:hAnsi="宋体"/>
          <w:b/>
        </w:rPr>
      </w:pPr>
      <w:bookmarkStart w:id="29" w:name="_Toc20471"/>
      <w:r>
        <w:rPr>
          <w:rFonts w:hint="eastAsia" w:ascii="宋体" w:hAnsi="宋体"/>
          <w:b/>
        </w:rPr>
        <w:t>2.项目概况与比选范围</w:t>
      </w:r>
      <w:bookmarkEnd w:id="29"/>
    </w:p>
    <w:p>
      <w:pPr>
        <w:spacing w:before="0" w:after="0" w:afterAutospacing="0"/>
        <w:ind w:left="0" w:right="0" w:firstLine="420" w:firstLineChars="200"/>
        <w:rPr>
          <w:rFonts w:ascii="宋体" w:hAnsi="宋体"/>
          <w:u w:val="single"/>
        </w:rPr>
      </w:pPr>
      <w:r>
        <w:rPr>
          <w:rFonts w:hint="eastAsia" w:ascii="宋体" w:hAnsi="宋体"/>
        </w:rPr>
        <w:t>项目编号：</w:t>
      </w:r>
      <w:r>
        <w:rPr>
          <w:rFonts w:hint="eastAsia" w:ascii="宋体" w:hAnsi="宋体"/>
          <w:u w:val="single"/>
        </w:rPr>
        <w:t xml:space="preserve">   202211080002</w:t>
      </w:r>
      <w:r>
        <w:rPr>
          <w:rFonts w:hint="eastAsia" w:ascii="宋体" w:hAnsi="宋体"/>
          <w:u w:val="single"/>
          <w:lang w:eastAsia="zh-CN"/>
        </w:rPr>
        <w:t>（重2）</w:t>
      </w:r>
      <w:r>
        <w:rPr>
          <w:rFonts w:hint="eastAsia" w:ascii="宋体" w:hAnsi="宋体"/>
          <w:u w:val="single"/>
        </w:rPr>
        <w:t xml:space="preserve">   </w:t>
      </w:r>
    </w:p>
    <w:p>
      <w:pPr>
        <w:spacing w:before="0" w:after="0" w:afterAutospacing="0"/>
        <w:ind w:left="0" w:right="0" w:firstLine="420" w:firstLineChars="200"/>
        <w:rPr>
          <w:rFonts w:ascii="宋体" w:hAnsi="宋体"/>
          <w:u w:val="single"/>
        </w:rPr>
      </w:pPr>
      <w:r>
        <w:rPr>
          <w:rFonts w:hint="eastAsia" w:ascii="宋体" w:hAnsi="宋体"/>
        </w:rPr>
        <w:t>项目名称：</w:t>
      </w:r>
      <w:r>
        <w:rPr>
          <w:rFonts w:hint="eastAsia" w:ascii="宋体" w:hAnsi="宋体"/>
          <w:u w:val="single"/>
        </w:rPr>
        <w:t xml:space="preserve">  </w:t>
      </w:r>
      <w:r>
        <w:rPr>
          <w:rFonts w:hint="eastAsia" w:ascii="宋体" w:hAnsi="宋体"/>
          <w:u w:val="single"/>
          <w:lang w:eastAsia="zh-CN"/>
        </w:rPr>
        <w:t>南宁轨道交通2号线电客车转向架橡胶件委外检测项目（2022年-2023年）（重2）</w:t>
      </w:r>
      <w:r>
        <w:rPr>
          <w:rFonts w:hint="eastAsia" w:ascii="宋体" w:hAnsi="宋体"/>
          <w:u w:val="single"/>
        </w:rPr>
        <w:t xml:space="preserve">   </w:t>
      </w:r>
    </w:p>
    <w:p>
      <w:pPr>
        <w:spacing w:before="0" w:after="0" w:afterAutospacing="0"/>
        <w:ind w:left="0" w:right="0" w:firstLine="420" w:firstLineChars="200"/>
        <w:rPr>
          <w:rFonts w:ascii="宋体" w:hAnsi="宋体"/>
          <w:u w:val="single"/>
        </w:rPr>
      </w:pPr>
      <w:r>
        <w:rPr>
          <w:rFonts w:hint="eastAsia" w:ascii="宋体" w:hAnsi="宋体"/>
        </w:rPr>
        <w:t>上限控制价：本项目不含税上限控制价为人民币壹拾肆万</w:t>
      </w:r>
      <w:r>
        <w:rPr>
          <w:rFonts w:hint="eastAsia" w:ascii="宋体" w:hAnsi="宋体"/>
          <w:lang w:val="en-US" w:eastAsia="zh-CN"/>
        </w:rPr>
        <w:t>壹仟</w:t>
      </w:r>
      <w:r>
        <w:rPr>
          <w:rFonts w:hint="eastAsia" w:ascii="宋体" w:hAnsi="宋体"/>
        </w:rPr>
        <w:t>元整（￥14</w:t>
      </w:r>
      <w:r>
        <w:rPr>
          <w:rFonts w:hint="eastAsia" w:ascii="宋体" w:hAnsi="宋体"/>
          <w:lang w:val="en-US" w:eastAsia="zh-CN"/>
        </w:rPr>
        <w:t>1</w:t>
      </w:r>
      <w:r>
        <w:rPr>
          <w:rFonts w:hint="eastAsia" w:ascii="宋体" w:hAnsi="宋体"/>
        </w:rPr>
        <w:t>000.00元）。</w:t>
      </w:r>
    </w:p>
    <w:p>
      <w:pPr>
        <w:spacing w:before="0" w:after="0" w:afterAutospacing="0"/>
        <w:ind w:left="0" w:right="0" w:firstLine="420" w:firstLineChars="200"/>
        <w:rPr>
          <w:rFonts w:ascii="宋体" w:hAnsi="宋体"/>
        </w:rPr>
      </w:pPr>
      <w:r>
        <w:rPr>
          <w:rFonts w:hint="eastAsia" w:ascii="宋体" w:hAnsi="宋体"/>
        </w:rPr>
        <w:t>工期：</w:t>
      </w:r>
      <w:r>
        <w:rPr>
          <w:rFonts w:hint="eastAsia" w:ascii="宋体" w:hAnsi="宋体"/>
          <w:lang w:val="en-US" w:eastAsia="zh-CN"/>
        </w:rPr>
        <w:t>自</w:t>
      </w:r>
      <w:r>
        <w:rPr>
          <w:rFonts w:hint="eastAsia" w:ascii="宋体" w:hAnsi="宋体"/>
          <w:u w:val="single"/>
        </w:rPr>
        <w:t>合同签订之日起共</w:t>
      </w:r>
      <w:r>
        <w:rPr>
          <w:rFonts w:hint="eastAsia" w:ascii="宋体" w:hAnsi="宋体"/>
          <w:u w:val="single"/>
          <w:lang w:val="en-US" w:eastAsia="zh-CN"/>
        </w:rPr>
        <w:t>计</w:t>
      </w:r>
      <w:r>
        <w:rPr>
          <w:rFonts w:hint="eastAsia" w:ascii="宋体" w:hAnsi="宋体"/>
          <w:u w:val="single"/>
        </w:rPr>
        <w:t>6个月。</w:t>
      </w:r>
    </w:p>
    <w:p>
      <w:pPr>
        <w:spacing w:before="0" w:after="0" w:afterAutospacing="0"/>
        <w:ind w:left="0" w:right="0" w:firstLine="420" w:firstLineChars="200"/>
        <w:rPr>
          <w:rFonts w:ascii="宋体" w:hAnsi="宋体"/>
        </w:rPr>
      </w:pPr>
      <w:r>
        <w:rPr>
          <w:rFonts w:hint="eastAsia" w:ascii="宋体" w:hAnsi="宋体"/>
        </w:rPr>
        <w:t>项目地点：</w:t>
      </w:r>
      <w:r>
        <w:rPr>
          <w:rFonts w:hint="eastAsia" w:ascii="宋体" w:hAnsi="宋体"/>
          <w:u w:val="single"/>
        </w:rPr>
        <w:t xml:space="preserve"> 比选申请人正常开展项目工作的地点</w:t>
      </w:r>
      <w:r>
        <w:rPr>
          <w:rFonts w:hint="eastAsia" w:ascii="宋体" w:hAnsi="宋体"/>
        </w:rPr>
        <w:t>。</w:t>
      </w:r>
    </w:p>
    <w:p>
      <w:pPr>
        <w:spacing w:before="0" w:after="0" w:afterAutospacing="0"/>
        <w:ind w:left="0" w:right="0" w:firstLine="420" w:firstLineChars="200"/>
        <w:rPr>
          <w:rFonts w:ascii="宋体" w:hAnsi="宋体"/>
          <w:u w:val="single"/>
        </w:rPr>
      </w:pPr>
      <w:r>
        <w:rPr>
          <w:rFonts w:hint="eastAsia" w:ascii="宋体" w:hAnsi="宋体"/>
        </w:rPr>
        <w:t>比选范围：</w:t>
      </w:r>
      <w:r>
        <w:rPr>
          <w:rFonts w:hint="eastAsia" w:ascii="宋体" w:hAnsi="宋体"/>
          <w:u w:val="single"/>
        </w:rPr>
        <w:t xml:space="preserve"> 针对电客车轴箱转臂定位橡胶关节、牵引拉杆橡胶关节、一系橡胶垫三类部件进行检测与寿命评估，每类部件包含新件样品1件和使用5年以上的样品3件，共计12件样品，</w:t>
      </w:r>
      <w:r>
        <w:rPr>
          <w:rFonts w:hint="eastAsia" w:ascii="宋体" w:hAnsi="宋体"/>
        </w:rPr>
        <w:t>具体详见用户需求书。</w:t>
      </w:r>
    </w:p>
    <w:p>
      <w:pPr>
        <w:spacing w:before="0" w:after="0" w:afterAutospacing="0"/>
        <w:ind w:left="0" w:right="0" w:firstLine="422" w:firstLineChars="200"/>
        <w:outlineLvl w:val="2"/>
        <w:rPr>
          <w:rFonts w:ascii="宋体" w:hAnsi="宋体"/>
        </w:rPr>
      </w:pPr>
      <w:bookmarkStart w:id="30" w:name="_Toc25479"/>
      <w:r>
        <w:rPr>
          <w:rFonts w:hint="eastAsia" w:ascii="宋体" w:hAnsi="宋体"/>
          <w:b/>
        </w:rPr>
        <w:t>3.比选申请人资格要求</w:t>
      </w:r>
      <w:bookmarkEnd w:id="30"/>
    </w:p>
    <w:p>
      <w:pPr>
        <w:spacing w:before="0" w:after="0" w:afterAutospacing="0"/>
        <w:ind w:left="0" w:right="0" w:firstLine="420" w:firstLineChars="200"/>
        <w:rPr>
          <w:rFonts w:ascii="宋体" w:hAnsi="宋体"/>
        </w:rPr>
      </w:pPr>
      <w:r>
        <w:rPr>
          <w:rFonts w:hint="eastAsia" w:ascii="宋体" w:hAnsi="宋体"/>
        </w:rPr>
        <w:t>3.1比选申请人为中华人民共和国境内依法设立的法人或其他组织（若以分公司名义参与</w:t>
      </w:r>
      <w:r>
        <w:rPr>
          <w:rFonts w:hint="eastAsia" w:ascii="宋体" w:hAnsi="宋体"/>
          <w:lang w:eastAsia="zh-CN"/>
        </w:rPr>
        <w:t>比选申请</w:t>
      </w:r>
      <w:r>
        <w:rPr>
          <w:rFonts w:hint="eastAsia" w:ascii="宋体" w:hAnsi="宋体"/>
        </w:rPr>
        <w:t>，必须出具总公司授权参与的证明。）</w:t>
      </w:r>
    </w:p>
    <w:p>
      <w:pPr>
        <w:spacing w:before="0" w:after="0" w:afterAutospacing="0"/>
        <w:ind w:left="0" w:right="0" w:firstLine="420" w:firstLineChars="200"/>
        <w:rPr>
          <w:rFonts w:ascii="宋体" w:hAnsi="宋体"/>
        </w:rPr>
      </w:pPr>
      <w:r>
        <w:rPr>
          <w:rFonts w:hint="eastAsia" w:ascii="宋体" w:hAnsi="宋体"/>
        </w:rPr>
        <w:t>3.2比选申请人</w:t>
      </w:r>
      <w:r>
        <w:rPr>
          <w:rFonts w:hint="eastAsia"/>
        </w:rPr>
        <w:t>自201</w:t>
      </w:r>
      <w:r>
        <w:rPr>
          <w:rFonts w:hint="eastAsia"/>
          <w:lang w:val="en-US" w:eastAsia="zh-CN"/>
        </w:rPr>
        <w:t>8</w:t>
      </w:r>
      <w:r>
        <w:rPr>
          <w:rFonts w:hint="eastAsia"/>
        </w:rPr>
        <w:t>年1月1日至比选申请截止时间</w:t>
      </w:r>
      <w:r>
        <w:rPr>
          <w:rFonts w:hint="eastAsia" w:ascii="宋体" w:hAnsi="宋体"/>
        </w:rPr>
        <w:t>至少具有1项铁路或地铁车辆</w:t>
      </w:r>
      <w:r>
        <w:rPr>
          <w:rFonts w:hint="eastAsia" w:ascii="宋体" w:hAnsi="宋体"/>
          <w:lang w:val="en-US" w:eastAsia="zh-CN"/>
        </w:rPr>
        <w:t>部件</w:t>
      </w:r>
      <w:r>
        <w:rPr>
          <w:rFonts w:hint="eastAsia" w:ascii="宋体" w:hAnsi="宋体"/>
        </w:rPr>
        <w:t>橡胶件检测业绩。比选申请人须提供相应的业绩证明材料：合同或业主（采购方）证明，合同或业主证明文件中须体现出合同双方、合同签订时间、合同服务、检测部件等内容，否则视为无效证明文件，复印件加盖比选申请人公章，不接受分包或转包的合同业绩。</w:t>
      </w:r>
    </w:p>
    <w:p>
      <w:pPr>
        <w:spacing w:before="0" w:after="0" w:afterAutospacing="0"/>
        <w:ind w:left="0" w:right="0" w:firstLine="420" w:firstLineChars="200"/>
        <w:rPr>
          <w:rFonts w:ascii="宋体" w:hAnsi="宋体"/>
        </w:rPr>
      </w:pPr>
      <w:r>
        <w:rPr>
          <w:rFonts w:hint="eastAsia" w:ascii="宋体" w:hAnsi="宋体"/>
        </w:rPr>
        <w:t>3.3比选申请人需具有</w:t>
      </w:r>
      <w:r>
        <w:rPr>
          <w:rFonts w:hint="eastAsia" w:ascii="宋体" w:hAnsi="宋体"/>
          <w:lang w:val="en-US" w:eastAsia="zh-CN"/>
        </w:rPr>
        <w:t>有效的</w:t>
      </w:r>
      <w:r>
        <w:rPr>
          <w:rFonts w:hint="eastAsia" w:ascii="宋体" w:hAnsi="宋体"/>
        </w:rPr>
        <w:t>CMA</w:t>
      </w:r>
      <w:r>
        <w:rPr>
          <w:rFonts w:hint="eastAsia" w:ascii="宋体" w:hAnsi="宋体"/>
          <w:lang w:eastAsia="zh-CN"/>
        </w:rPr>
        <w:t>（</w:t>
      </w:r>
      <w:r>
        <w:rPr>
          <w:rFonts w:hint="eastAsia" w:ascii="宋体" w:hAnsi="宋体"/>
        </w:rPr>
        <w:t>检验检测机构资质认定</w:t>
      </w:r>
      <w:r>
        <w:rPr>
          <w:rFonts w:hint="eastAsia" w:ascii="宋体" w:hAnsi="宋体"/>
          <w:lang w:val="en-US" w:eastAsia="zh-CN"/>
        </w:rPr>
        <w:t>证书</w:t>
      </w:r>
      <w:r>
        <w:rPr>
          <w:rFonts w:hint="eastAsia" w:ascii="宋体" w:hAnsi="宋体"/>
          <w:lang w:eastAsia="zh-CN"/>
        </w:rPr>
        <w:t>）</w:t>
      </w:r>
      <w:r>
        <w:rPr>
          <w:rFonts w:hint="eastAsia" w:ascii="宋体" w:hAnsi="宋体"/>
        </w:rPr>
        <w:t>与CNAS</w:t>
      </w:r>
      <w:r>
        <w:rPr>
          <w:rFonts w:hint="eastAsia" w:ascii="宋体" w:hAnsi="宋体"/>
          <w:lang w:eastAsia="zh-CN"/>
        </w:rPr>
        <w:t>（</w:t>
      </w:r>
      <w:r>
        <w:rPr>
          <w:rFonts w:hint="eastAsia" w:ascii="宋体" w:hAnsi="宋体"/>
        </w:rPr>
        <w:t>中国合格评定国家认可委员会实验室认可证书</w:t>
      </w:r>
      <w:r>
        <w:rPr>
          <w:rFonts w:hint="eastAsia" w:ascii="宋体" w:hAnsi="宋体"/>
          <w:lang w:eastAsia="zh-CN"/>
        </w:rPr>
        <w:t>）</w:t>
      </w:r>
      <w:r>
        <w:rPr>
          <w:rFonts w:hint="eastAsia" w:ascii="宋体" w:hAnsi="宋体"/>
        </w:rPr>
        <w:t>资质。</w:t>
      </w:r>
    </w:p>
    <w:p>
      <w:p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4</w:t>
      </w:r>
      <w:r>
        <w:rPr>
          <w:rFonts w:hint="eastAsia" w:ascii="宋体" w:hAnsi="宋体"/>
        </w:rPr>
        <w:t>(1)</w:t>
      </w:r>
      <w:r>
        <w:rPr>
          <w:rFonts w:hint="eastAsia" w:ascii="宋体" w:hAnsi="宋体"/>
          <w:lang w:eastAsia="zh-CN"/>
        </w:rPr>
        <w:t>比选申请人</w:t>
      </w:r>
      <w:r>
        <w:rPr>
          <w:rFonts w:hint="eastAsia" w:ascii="宋体" w:hAnsi="宋体"/>
        </w:rPr>
        <w:t>没有处于被责令停业.(2)</w:t>
      </w:r>
      <w:r>
        <w:rPr>
          <w:rFonts w:hint="eastAsia" w:ascii="宋体" w:hAnsi="宋体"/>
          <w:lang w:eastAsia="zh-CN"/>
        </w:rPr>
        <w:t>比选申请</w:t>
      </w:r>
      <w:r>
        <w:rPr>
          <w:rFonts w:hint="eastAsia" w:ascii="宋体" w:hAnsi="宋体"/>
        </w:rPr>
        <w:t>资格没有被住建部或应急管理部（原国家安监总局）或广西区或南宁市建设行政主管部门取消。(3)财产没有处于被接管、破产状态。(4)在</w:t>
      </w:r>
      <w:r>
        <w:rPr>
          <w:rFonts w:hint="eastAsia" w:ascii="宋体" w:hAnsi="宋体"/>
          <w:lang w:eastAsia="zh-CN"/>
        </w:rPr>
        <w:t>比选申请</w:t>
      </w:r>
      <w:r>
        <w:rPr>
          <w:rFonts w:hint="eastAsia" w:ascii="宋体" w:hAnsi="宋体"/>
        </w:rPr>
        <w:t>截止时间前3年内没有骗取中标或严重违约或重大质量安全责任事故。</w:t>
      </w:r>
    </w:p>
    <w:p>
      <w:pPr>
        <w:numPr>
          <w:ins w:id="0" w:author="小妖" w:date="2022-10-26T11:40:00Z"/>
        </w:num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5</w:t>
      </w:r>
      <w:r>
        <w:rPr>
          <w:rFonts w:hint="eastAsia" w:ascii="宋体" w:hAnsi="宋体"/>
        </w:rPr>
        <w:t>单位负责人为同一人或者存在控股、管理关系的不同单位，不得参加同一标段</w:t>
      </w:r>
      <w:r>
        <w:rPr>
          <w:rFonts w:hint="eastAsia" w:ascii="宋体" w:hAnsi="宋体"/>
          <w:lang w:eastAsia="zh-CN"/>
        </w:rPr>
        <w:t>比选申请</w:t>
      </w:r>
      <w:r>
        <w:rPr>
          <w:rFonts w:hint="eastAsia" w:ascii="宋体" w:hAnsi="宋体"/>
        </w:rPr>
        <w:t>或者未划分标段的同一</w:t>
      </w:r>
      <w:r>
        <w:rPr>
          <w:rFonts w:hint="eastAsia" w:ascii="宋体" w:hAnsi="宋体"/>
          <w:lang w:eastAsia="zh-CN"/>
        </w:rPr>
        <w:t>比选</w:t>
      </w:r>
      <w:r>
        <w:rPr>
          <w:rFonts w:hint="eastAsia" w:ascii="宋体" w:hAnsi="宋体"/>
        </w:rPr>
        <w:t>项目</w:t>
      </w:r>
      <w:r>
        <w:rPr>
          <w:rFonts w:hint="eastAsia" w:ascii="宋体" w:hAnsi="宋体"/>
          <w:lang w:eastAsia="zh-CN"/>
        </w:rPr>
        <w:t>比选申请</w:t>
      </w:r>
      <w:r>
        <w:rPr>
          <w:rFonts w:hint="eastAsia" w:ascii="宋体" w:hAnsi="宋体"/>
        </w:rPr>
        <w:t>。</w:t>
      </w:r>
    </w:p>
    <w:p>
      <w:pPr>
        <w:numPr>
          <w:ins w:id="1" w:author="小妖" w:date="2022-10-26T11:40:00Z"/>
        </w:num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6</w:t>
      </w:r>
      <w:r>
        <w:rPr>
          <w:rFonts w:hint="eastAsia" w:ascii="宋体" w:hAnsi="宋体"/>
        </w:rPr>
        <w:t>本项目不接受联合体</w:t>
      </w:r>
      <w:r>
        <w:rPr>
          <w:rFonts w:hint="eastAsia" w:ascii="宋体" w:hAnsi="宋体"/>
          <w:lang w:eastAsia="zh-CN"/>
        </w:rPr>
        <w:t>比选申请</w:t>
      </w:r>
      <w:r>
        <w:rPr>
          <w:rFonts w:hint="eastAsia" w:ascii="宋体" w:hAnsi="宋体"/>
        </w:rPr>
        <w:t>。</w:t>
      </w:r>
    </w:p>
    <w:p>
      <w:pPr>
        <w:numPr>
          <w:ins w:id="2" w:author="小妖" w:date="2022-10-26T11:40:00Z"/>
        </w:numPr>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7</w:t>
      </w:r>
      <w:r>
        <w:rPr>
          <w:rFonts w:hint="eastAsia" w:ascii="宋体" w:hAnsi="宋体"/>
        </w:rPr>
        <w:t>比选申请人未被列入比选人不良信用名单的。</w:t>
      </w:r>
    </w:p>
    <w:p>
      <w:pPr>
        <w:spacing w:before="0" w:after="0" w:afterAutospacing="0"/>
        <w:ind w:left="0" w:right="0" w:firstLine="422" w:firstLineChars="200"/>
        <w:outlineLvl w:val="2"/>
        <w:rPr>
          <w:rFonts w:ascii="宋体" w:hAnsi="宋体"/>
          <w:b/>
        </w:rPr>
      </w:pPr>
      <w:bookmarkStart w:id="31" w:name="_Toc2672"/>
      <w:r>
        <w:rPr>
          <w:rFonts w:hint="eastAsia" w:ascii="宋体" w:hAnsi="宋体"/>
          <w:b/>
        </w:rPr>
        <w:t>4.资格审查方式</w:t>
      </w:r>
      <w:bookmarkEnd w:id="31"/>
    </w:p>
    <w:p>
      <w:pPr>
        <w:spacing w:before="0" w:after="0" w:afterAutospacing="0"/>
        <w:ind w:left="0" w:right="0"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outlineLvl w:val="2"/>
        <w:rPr>
          <w:rFonts w:ascii="宋体" w:hAnsi="宋体"/>
          <w:b/>
        </w:rPr>
      </w:pPr>
      <w:bookmarkStart w:id="32" w:name="_Toc6681"/>
      <w:r>
        <w:rPr>
          <w:rFonts w:hint="eastAsia" w:ascii="宋体" w:hAnsi="宋体"/>
          <w:b/>
        </w:rPr>
        <w:t>5.比选文件的获取</w:t>
      </w:r>
      <w:bookmarkEnd w:id="32"/>
    </w:p>
    <w:p>
      <w:pPr>
        <w:spacing w:before="0" w:after="0" w:afterAutospacing="0"/>
        <w:ind w:left="0" w:right="0" w:firstLine="420" w:firstLineChars="200"/>
        <w:rPr>
          <w:rFonts w:ascii="宋体" w:hAnsi="宋体"/>
          <w:highlight w:val="none"/>
        </w:rPr>
      </w:pPr>
      <w:r>
        <w:rPr>
          <w:rFonts w:hint="eastAsia" w:ascii="宋体" w:hAnsi="宋体"/>
        </w:rPr>
        <w:t>5.1比选文件获取：</w:t>
      </w:r>
    </w:p>
    <w:p>
      <w:pPr>
        <w:spacing w:before="0" w:after="0" w:afterAutospacing="0"/>
        <w:ind w:left="0" w:right="0" w:firstLine="420" w:firstLineChars="200"/>
        <w:rPr>
          <w:rFonts w:ascii="宋体" w:hAnsi="宋体"/>
          <w:highlight w:val="none"/>
        </w:rPr>
      </w:pPr>
      <w:r>
        <w:rPr>
          <w:rFonts w:hint="eastAsia" w:ascii="宋体" w:hAnsi="宋体"/>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highlight w:val="none"/>
        </w:rPr>
      </w:pPr>
      <w:r>
        <w:rPr>
          <w:rFonts w:hint="eastAsia" w:ascii="宋体" w:hAnsi="宋体"/>
          <w:b/>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2"/>
        <w:rPr>
          <w:rFonts w:ascii="宋体" w:hAnsi="宋体"/>
          <w:b/>
          <w:highlight w:val="none"/>
        </w:rPr>
      </w:pPr>
      <w:bookmarkStart w:id="33" w:name="_Toc8795"/>
      <w:r>
        <w:rPr>
          <w:rFonts w:hint="eastAsia" w:ascii="宋体" w:hAnsi="宋体"/>
          <w:b/>
          <w:highlight w:val="none"/>
        </w:rPr>
        <w:t>6.</w:t>
      </w:r>
      <w:r>
        <w:rPr>
          <w:rFonts w:ascii="宋体" w:hAnsi="宋体"/>
          <w:b/>
          <w:highlight w:val="none"/>
        </w:rPr>
        <w:t>比选申请截止时间</w:t>
      </w:r>
      <w:r>
        <w:rPr>
          <w:rFonts w:hint="eastAsia" w:ascii="宋体" w:hAnsi="宋体"/>
          <w:b/>
          <w:highlight w:val="none"/>
        </w:rPr>
        <w:t>和</w:t>
      </w:r>
      <w:r>
        <w:rPr>
          <w:rFonts w:ascii="宋体" w:hAnsi="宋体"/>
          <w:b/>
          <w:highlight w:val="none"/>
        </w:rPr>
        <w:t>地点</w:t>
      </w:r>
      <w:bookmarkEnd w:id="33"/>
    </w:p>
    <w:p>
      <w:pPr>
        <w:spacing w:before="0" w:after="0" w:afterAutospacing="0"/>
        <w:ind w:left="0" w:right="0" w:firstLine="420" w:firstLineChars="200"/>
        <w:rPr>
          <w:rFonts w:ascii="宋体" w:hAnsi="宋体"/>
          <w:highlight w:val="none"/>
        </w:rPr>
      </w:pPr>
      <w:r>
        <w:rPr>
          <w:rFonts w:hint="eastAsia" w:ascii="宋体" w:hAnsi="宋体"/>
          <w:highlight w:val="none"/>
        </w:rPr>
        <w:t>6.1比选申请文件须密封后于</w:t>
      </w:r>
      <w:r>
        <w:rPr>
          <w:rFonts w:hint="eastAsia" w:ascii="宋体" w:hAnsi="宋体"/>
          <w:highlight w:val="none"/>
          <w:lang w:val="en-US" w:eastAsia="zh-CN"/>
        </w:rPr>
        <w:t>2023</w:t>
      </w:r>
      <w:r>
        <w:rPr>
          <w:rFonts w:hint="eastAsia" w:ascii="宋体" w:hAnsi="宋体"/>
          <w:highlight w:val="none"/>
        </w:rPr>
        <w:t>年</w:t>
      </w:r>
      <w:r>
        <w:rPr>
          <w:rFonts w:hint="eastAsia" w:ascii="宋体" w:hAnsi="宋体"/>
          <w:highlight w:val="none"/>
          <w:lang w:val="en-US" w:eastAsia="zh-CN"/>
        </w:rPr>
        <w:t>9</w:t>
      </w:r>
      <w:r>
        <w:rPr>
          <w:rFonts w:hint="eastAsia" w:ascii="宋体" w:hAnsi="宋体"/>
          <w:highlight w:val="none"/>
        </w:rPr>
        <w:t>月</w:t>
      </w:r>
      <w:r>
        <w:rPr>
          <w:rFonts w:hint="eastAsia" w:ascii="宋体" w:hAnsi="宋体"/>
          <w:highlight w:val="none"/>
          <w:lang w:val="en-US" w:eastAsia="zh-CN"/>
        </w:rPr>
        <w:t xml:space="preserve">15 </w:t>
      </w:r>
      <w:r>
        <w:rPr>
          <w:rFonts w:hint="eastAsia" w:ascii="宋体" w:hAnsi="宋体"/>
          <w:highlight w:val="none"/>
        </w:rPr>
        <w:t>日</w:t>
      </w:r>
      <w:r>
        <w:rPr>
          <w:rFonts w:hint="eastAsia" w:ascii="宋体" w:hAnsi="宋体"/>
          <w:highlight w:val="none"/>
          <w:lang w:val="en-US" w:eastAsia="zh-CN"/>
        </w:rPr>
        <w:t>15 时00</w:t>
      </w:r>
      <w:r>
        <w:rPr>
          <w:rFonts w:hint="eastAsia" w:ascii="宋体" w:hAnsi="宋体"/>
          <w:highlight w:val="none"/>
        </w:rPr>
        <w:t>分（北京时间）前递交，递交地点在广西南宁市青秀区云景路83号屯里车辆段</w:t>
      </w:r>
      <w:r>
        <w:rPr>
          <w:rFonts w:hint="eastAsia" w:ascii="宋体" w:hAnsi="宋体"/>
          <w:highlight w:val="none"/>
          <w:u w:val="single"/>
          <w:lang w:val="en-US" w:eastAsia="zh-CN"/>
        </w:rPr>
        <w:t>综合楼205会议</w:t>
      </w:r>
      <w:r>
        <w:rPr>
          <w:rFonts w:hint="eastAsia" w:ascii="宋体" w:hAnsi="宋体"/>
          <w:highlight w:val="none"/>
        </w:rPr>
        <w:t>室；</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6.3请比选申请人法定代表人或被授权人携法人委托书原件准时参加。</w:t>
      </w:r>
      <w:r>
        <w:rPr>
          <w:rFonts w:ascii="宋体" w:hAnsi="宋体"/>
        </w:rPr>
        <w:t>比选申请文件必须由</w:t>
      </w:r>
      <w:r>
        <w:rPr>
          <w:rFonts w:hint="eastAsia" w:ascii="宋体" w:hAnsi="宋体"/>
        </w:rPr>
        <w:t>比选申请人法定代表人或被授权人</w:t>
      </w:r>
      <w:r>
        <w:rPr>
          <w:rFonts w:ascii="宋体" w:hAnsi="宋体"/>
        </w:rPr>
        <w:t>递交，否则</w:t>
      </w:r>
      <w:r>
        <w:rPr>
          <w:rFonts w:hint="eastAsia" w:ascii="宋体" w:hAnsi="宋体"/>
        </w:rPr>
        <w:t>比选人</w:t>
      </w:r>
      <w:r>
        <w:rPr>
          <w:rFonts w:ascii="宋体" w:hAnsi="宋体"/>
        </w:rPr>
        <w:t>不予受理。</w:t>
      </w:r>
    </w:p>
    <w:p>
      <w:pPr>
        <w:spacing w:before="0" w:after="0" w:afterAutospacing="0"/>
        <w:ind w:left="0" w:right="0" w:firstLine="422" w:firstLineChars="200"/>
        <w:outlineLvl w:val="2"/>
        <w:rPr>
          <w:rFonts w:ascii="宋体" w:hAnsi="宋体"/>
          <w:b/>
        </w:rPr>
      </w:pPr>
      <w:bookmarkStart w:id="34" w:name="_Toc22158"/>
      <w:r>
        <w:rPr>
          <w:rFonts w:hint="eastAsia" w:ascii="宋体" w:hAnsi="宋体"/>
          <w:b/>
        </w:rPr>
        <w:t>7.发布公告的媒介</w:t>
      </w:r>
      <w:bookmarkEnd w:id="34"/>
    </w:p>
    <w:p>
      <w:pPr>
        <w:spacing w:before="0" w:after="0" w:afterAutospacing="0"/>
        <w:ind w:left="0" w:right="0" w:firstLine="420" w:firstLineChars="200"/>
        <w:rPr>
          <w:rFonts w:ascii="宋体" w:hAnsi="宋体"/>
        </w:rPr>
      </w:pPr>
      <w:r>
        <w:rPr>
          <w:rFonts w:hint="eastAsia" w:ascii="宋体" w:hAnsi="宋体"/>
        </w:rPr>
        <w:t>本次比选公告同时在南宁轨道交通集团有限责任公司官网(http://www.nngdjt.com)、中国e车网(http://www.ecrrc.com)发布。</w:t>
      </w:r>
    </w:p>
    <w:p>
      <w:pPr>
        <w:spacing w:before="0" w:after="0" w:afterAutospacing="0"/>
        <w:ind w:left="0" w:right="0" w:firstLine="422" w:firstLineChars="200"/>
        <w:outlineLvl w:val="2"/>
        <w:rPr>
          <w:rFonts w:ascii="宋体" w:hAnsi="宋体"/>
          <w:b/>
        </w:rPr>
      </w:pPr>
      <w:bookmarkStart w:id="35" w:name="_Toc15098"/>
      <w:r>
        <w:rPr>
          <w:rFonts w:hint="eastAsia" w:ascii="宋体" w:hAnsi="宋体"/>
          <w:b/>
        </w:rPr>
        <w:t>8.联系方式</w:t>
      </w:r>
      <w:bookmarkEnd w:id="35"/>
    </w:p>
    <w:p>
      <w:pPr>
        <w:spacing w:before="0" w:after="0" w:afterAutospacing="0"/>
        <w:ind w:left="0" w:right="0" w:firstLine="420" w:firstLineChars="200"/>
        <w:rPr>
          <w:rFonts w:ascii="宋体" w:hAnsi="宋体"/>
          <w:u w:val="single"/>
        </w:rPr>
      </w:pPr>
      <w:r>
        <w:rPr>
          <w:rFonts w:hint="eastAsia" w:ascii="宋体" w:hAnsi="宋体"/>
        </w:rPr>
        <w:t xml:space="preserve">比 选 人：南宁轨道交通运营有限公司    </w:t>
      </w:r>
    </w:p>
    <w:p>
      <w:pPr>
        <w:spacing w:before="0" w:after="0" w:afterAutospacing="0"/>
        <w:ind w:left="0" w:right="0" w:firstLine="420" w:firstLineChars="200"/>
        <w:rPr>
          <w:rFonts w:ascii="宋体" w:hAnsi="宋体"/>
          <w:color w:val="auto"/>
          <w:highlight w:val="none"/>
          <w:u w:val="single"/>
        </w:rPr>
      </w:pPr>
      <w:r>
        <w:rPr>
          <w:rFonts w:hint="eastAsia" w:ascii="宋体" w:hAnsi="宋体"/>
        </w:rPr>
        <w:t xml:space="preserve">地 </w:t>
      </w:r>
      <w:r>
        <w:rPr>
          <w:rFonts w:hint="eastAsia" w:ascii="宋体" w:hAnsi="宋体"/>
          <w:color w:val="auto"/>
          <w:highlight w:val="none"/>
        </w:rPr>
        <w:t xml:space="preserve">   址：南宁市青秀区云景路83号         </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邮    编：530022                         </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联 系 人：陈工/</w:t>
      </w:r>
      <w:r>
        <w:rPr>
          <w:rFonts w:hint="eastAsia" w:ascii="宋体" w:hAnsi="宋体"/>
          <w:color w:val="auto"/>
          <w:highlight w:val="none"/>
          <w:lang w:val="en-US" w:eastAsia="zh-CN"/>
        </w:rPr>
        <w:t>白</w:t>
      </w:r>
      <w:r>
        <w:rPr>
          <w:rFonts w:hint="eastAsia" w:ascii="宋体" w:hAnsi="宋体"/>
          <w:color w:val="auto"/>
          <w:highlight w:val="none"/>
        </w:rPr>
        <w:t xml:space="preserve">工  </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电    话：0771-</w:t>
      </w:r>
      <w:r>
        <w:rPr>
          <w:rFonts w:hint="eastAsia" w:ascii="宋体" w:hAnsi="宋体"/>
          <w:color w:val="auto"/>
          <w:highlight w:val="none"/>
          <w:lang w:val="en-US" w:eastAsia="zh-CN"/>
        </w:rPr>
        <w:t>2778973</w:t>
      </w:r>
      <w:r>
        <w:rPr>
          <w:rFonts w:hint="eastAsia" w:ascii="宋体" w:hAnsi="宋体"/>
          <w:color w:val="auto"/>
          <w:highlight w:val="none"/>
        </w:rPr>
        <w:t>/0771-236263</w:t>
      </w:r>
      <w:r>
        <w:rPr>
          <w:rFonts w:hint="eastAsia" w:ascii="宋体" w:hAnsi="宋体"/>
          <w:color w:val="auto"/>
          <w:highlight w:val="none"/>
          <w:lang w:val="en-US" w:eastAsia="zh-CN"/>
        </w:rPr>
        <w:t>5</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纪检监察室举报电话：0771-2778084</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    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spacing w:before="0" w:after="120" w:line="380" w:lineRule="exact"/>
        <w:ind w:left="430" w:right="-57" w:firstLine="200"/>
        <w:rPr>
          <w:rFonts w:ascii="宋体" w:hAnsi="宋体"/>
        </w:rPr>
      </w:pPr>
    </w:p>
    <w:p>
      <w:pPr>
        <w:pStyle w:val="2"/>
        <w:pageBreakBefore/>
        <w:ind w:right="-57" w:firstLine="0"/>
        <w:jc w:val="center"/>
        <w:outlineLvl w:val="1"/>
        <w:rPr>
          <w:rStyle w:val="42"/>
          <w:rFonts w:ascii="宋体" w:hAnsi="宋体" w:eastAsia="宋体"/>
        </w:rPr>
        <w:sectPr>
          <w:footerReference r:id="rId8" w:type="default"/>
          <w:pgSz w:w="11905" w:h="16838"/>
          <w:pgMar w:top="1417" w:right="1417" w:bottom="1417" w:left="1417" w:header="454" w:footer="567" w:gutter="0"/>
          <w:pgNumType w:fmt="decimal" w:start="1"/>
          <w:cols w:space="720" w:num="1"/>
          <w:docGrid w:linePitch="312" w:charSpace="0"/>
        </w:sectPr>
      </w:pPr>
      <w:bookmarkStart w:id="36" w:name="_Toc322528192"/>
      <w:bookmarkEnd w:id="36"/>
      <w:bookmarkStart w:id="37" w:name="_Toc512357502"/>
      <w:bookmarkStart w:id="38" w:name="_Toc21830"/>
      <w:bookmarkStart w:id="39" w:name="_Toc24972"/>
      <w:bookmarkStart w:id="40" w:name="_Toc17735"/>
      <w:bookmarkStart w:id="41" w:name="_Toc30950"/>
      <w:bookmarkStart w:id="42" w:name="_Toc1230"/>
      <w:bookmarkStart w:id="43" w:name="_Toc22273"/>
      <w:bookmarkStart w:id="44" w:name="_Toc12635"/>
      <w:bookmarkStart w:id="45" w:name="_Toc17594"/>
      <w:bookmarkStart w:id="46" w:name="_Toc18454"/>
      <w:bookmarkStart w:id="47" w:name="_Toc17240"/>
      <w:bookmarkStart w:id="48" w:name="_Toc20201"/>
      <w:bookmarkStart w:id="49" w:name="_Toc29836"/>
      <w:bookmarkStart w:id="50" w:name="_Toc24390"/>
      <w:bookmarkStart w:id="51" w:name="_Toc30725"/>
      <w:bookmarkStart w:id="52" w:name="_Toc3495"/>
      <w:bookmarkStart w:id="53" w:name="_Toc15976"/>
      <w:bookmarkStart w:id="54" w:name="_Toc25750589"/>
      <w:bookmarkStart w:id="55" w:name="_Toc30883"/>
    </w:p>
    <w:p>
      <w:pPr>
        <w:pStyle w:val="2"/>
        <w:pageBreakBefore/>
        <w:ind w:right="-57" w:firstLine="0"/>
        <w:jc w:val="center"/>
        <w:outlineLvl w:val="0"/>
        <w:rPr>
          <w:rStyle w:val="42"/>
          <w:rFonts w:ascii="宋体" w:hAnsi="宋体" w:eastAsia="宋体"/>
        </w:rPr>
      </w:pPr>
      <w:bookmarkStart w:id="56" w:name="_Toc12628"/>
      <w:bookmarkStart w:id="57" w:name="_Toc6812"/>
      <w:bookmarkStart w:id="58" w:name="_Toc26155"/>
      <w:bookmarkStart w:id="59" w:name="_Toc11662"/>
      <w:bookmarkStart w:id="60" w:name="_Toc31792"/>
      <w:bookmarkStart w:id="61" w:name="_Toc31186"/>
      <w:r>
        <w:rPr>
          <w:rStyle w:val="42"/>
          <w:rFonts w:hint="eastAsia" w:ascii="宋体" w:hAnsi="宋体" w:eastAsia="宋体"/>
        </w:rPr>
        <w:t>第二章</w:t>
      </w:r>
      <w:bookmarkEnd w:id="37"/>
      <w:r>
        <w:rPr>
          <w:rStyle w:val="42"/>
          <w:rFonts w:hint="eastAsia" w:ascii="宋体" w:hAnsi="宋体" w:eastAsia="宋体"/>
        </w:rPr>
        <w:t>比选申请须知</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2"/>
        <w:spacing w:before="0" w:after="0"/>
        <w:ind w:right="0" w:firstLine="0"/>
        <w:jc w:val="center"/>
        <w:outlineLvl w:val="2"/>
        <w:rPr>
          <w:rFonts w:hAnsi="宋体"/>
          <w:b/>
          <w:sz w:val="30"/>
          <w:szCs w:val="30"/>
        </w:rPr>
      </w:pPr>
      <w:bookmarkStart w:id="62" w:name="_Toc9022"/>
      <w:r>
        <w:rPr>
          <w:rFonts w:hint="eastAsia" w:hAnsi="宋体"/>
          <w:b/>
          <w:sz w:val="30"/>
          <w:szCs w:val="30"/>
        </w:rPr>
        <w:t>比选申请须知前附表</w:t>
      </w:r>
      <w:bookmarkEnd w:id="62"/>
    </w:p>
    <w:tbl>
      <w:tblPr>
        <w:tblStyle w:val="28"/>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名称：南宁轨道交通运营有限公司</w:t>
            </w:r>
          </w:p>
          <w:p>
            <w:pPr>
              <w:spacing w:before="0" w:after="0" w:afterAutospacing="0"/>
              <w:ind w:left="0" w:right="0" w:firstLine="0"/>
              <w:rPr>
                <w:rFonts w:ascii="宋体" w:hAnsi="宋体"/>
                <w:highlight w:val="none"/>
              </w:rPr>
            </w:pPr>
            <w:r>
              <w:rPr>
                <w:rFonts w:hint="eastAsia" w:ascii="宋体" w:hAnsi="宋体"/>
                <w:highlight w:val="none"/>
              </w:rPr>
              <w:t>地址：南宁市青秀区云景路</w:t>
            </w:r>
            <w:r>
              <w:rPr>
                <w:rFonts w:ascii="宋体" w:hAnsi="宋体"/>
                <w:highlight w:val="none"/>
              </w:rPr>
              <w:t>83</w:t>
            </w:r>
            <w:r>
              <w:rPr>
                <w:rFonts w:hint="eastAsia" w:ascii="宋体" w:hAnsi="宋体"/>
                <w:highlight w:val="none"/>
              </w:rPr>
              <w:t>号</w:t>
            </w:r>
          </w:p>
          <w:p>
            <w:pPr>
              <w:spacing w:before="0" w:after="0" w:afterAutospacing="0"/>
              <w:ind w:left="0" w:right="0" w:firstLine="0"/>
              <w:rPr>
                <w:rFonts w:ascii="宋体" w:hAnsi="宋体"/>
                <w:highlight w:val="none"/>
              </w:rPr>
            </w:pPr>
            <w:r>
              <w:rPr>
                <w:rFonts w:hint="eastAsia" w:ascii="宋体" w:hAnsi="宋体"/>
                <w:highlight w:val="none"/>
              </w:rPr>
              <w:t>联系人：陈工/</w:t>
            </w:r>
            <w:r>
              <w:rPr>
                <w:rFonts w:hint="eastAsia" w:ascii="宋体" w:hAnsi="宋体"/>
                <w:highlight w:val="none"/>
                <w:lang w:val="en-US" w:eastAsia="zh-CN"/>
              </w:rPr>
              <w:t>白</w:t>
            </w:r>
            <w:r>
              <w:rPr>
                <w:rFonts w:hint="eastAsia" w:ascii="宋体" w:hAnsi="宋体"/>
                <w:highlight w:val="none"/>
              </w:rPr>
              <w:t>工</w:t>
            </w:r>
          </w:p>
          <w:p>
            <w:pPr>
              <w:spacing w:before="0" w:after="0" w:afterAutospacing="0"/>
              <w:ind w:left="0" w:right="0" w:firstLine="0"/>
              <w:rPr>
                <w:rFonts w:ascii="宋体" w:hAnsi="宋体"/>
                <w:highlight w:val="none"/>
              </w:rPr>
            </w:pPr>
            <w:r>
              <w:rPr>
                <w:rFonts w:hint="eastAsia" w:ascii="宋体" w:hAnsi="宋体"/>
                <w:highlight w:val="none"/>
              </w:rPr>
              <w:t>联系电话：0771-</w:t>
            </w:r>
            <w:r>
              <w:rPr>
                <w:rFonts w:hint="eastAsia" w:ascii="宋体" w:hAnsi="宋体"/>
                <w:color w:val="auto"/>
                <w:highlight w:val="none"/>
                <w:lang w:val="en-US" w:eastAsia="zh-CN"/>
              </w:rPr>
              <w:t>2778973</w:t>
            </w:r>
            <w:r>
              <w:rPr>
                <w:rFonts w:hint="eastAsia" w:ascii="宋体" w:hAnsi="宋体"/>
                <w:highlight w:val="none"/>
              </w:rPr>
              <w:t>/</w:t>
            </w:r>
            <w:r>
              <w:rPr>
                <w:rFonts w:ascii="宋体" w:hAnsi="宋体"/>
                <w:highlight w:val="none"/>
              </w:rPr>
              <w:t>0771-236263</w:t>
            </w:r>
            <w:r>
              <w:rPr>
                <w:rFonts w:hint="eastAsia" w:ascii="宋体" w:hAnsi="宋体"/>
                <w:highlight w:val="none"/>
                <w:lang w:val="en-US" w:eastAsia="zh-CN"/>
              </w:rPr>
              <w:t>5</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lang w:eastAsia="zh-CN"/>
              </w:rPr>
            </w:pPr>
            <w:r>
              <w:rPr>
                <w:rFonts w:hint="eastAsia" w:ascii="宋体" w:hAnsi="宋体"/>
                <w:lang w:eastAsia="zh-CN"/>
              </w:rPr>
              <w:t>南宁轨道交通2号线电客车转向架橡胶件委外检测项目（2022年-2023年）（重2）</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lang w:eastAsia="zh-CN"/>
              </w:rPr>
            </w:pPr>
            <w:r>
              <w:rPr>
                <w:rFonts w:ascii="宋体" w:hAnsi="宋体"/>
              </w:rPr>
              <w:t>202211080002</w:t>
            </w:r>
            <w:r>
              <w:rPr>
                <w:rFonts w:hint="eastAsia" w:ascii="宋体" w:hAnsi="宋体"/>
                <w:lang w:eastAsia="zh-CN"/>
              </w:rPr>
              <w:t>（重2）</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u w:val="single"/>
              </w:rPr>
              <w:t>针对电客车轴箱转臂定位橡胶关节、牵引拉杆橡胶关节、一系橡胶垫三类部件进行检测与寿命评估，每类部件包含新件样品1件和使用5年以上的样品3件，共计12件样品，具体详见用户需求书。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工期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u w:val="single"/>
              </w:rPr>
              <w:t xml:space="preserve"> </w:t>
            </w:r>
            <w:r>
              <w:rPr>
                <w:rFonts w:hint="eastAsia" w:ascii="宋体" w:hAnsi="宋体"/>
                <w:u w:val="single"/>
                <w:lang w:val="en-US" w:eastAsia="zh-CN"/>
              </w:rPr>
              <w:t>自</w:t>
            </w:r>
            <w:r>
              <w:rPr>
                <w:rFonts w:hint="eastAsia" w:ascii="宋体" w:hAnsi="宋体"/>
                <w:u w:val="single"/>
              </w:rPr>
              <w:t>合同签订之日起共</w:t>
            </w:r>
            <w:r>
              <w:rPr>
                <w:rFonts w:hint="eastAsia" w:ascii="宋体" w:hAnsi="宋体"/>
                <w:u w:val="single"/>
                <w:lang w:val="en-US" w:eastAsia="zh-CN"/>
              </w:rPr>
              <w:t>计</w:t>
            </w:r>
            <w:r>
              <w:rPr>
                <w:rFonts w:hint="eastAsia" w:ascii="宋体" w:hAnsi="宋体"/>
                <w:u w:val="single"/>
              </w:rPr>
              <w:t>6个月</w:t>
            </w:r>
            <w:r>
              <w:rPr>
                <w:rFonts w:hint="eastAsia" w:ascii="宋体" w:hAnsi="宋体"/>
              </w:rPr>
              <w:t xml:space="preserve">。 </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企业自有资金</w:t>
            </w:r>
          </w:p>
        </w:tc>
      </w:tr>
      <w:tr>
        <w:tblPrEx>
          <w:tblCellMar>
            <w:top w:w="0" w:type="dxa"/>
            <w:left w:w="108" w:type="dxa"/>
            <w:bottom w:w="0" w:type="dxa"/>
            <w:right w:w="108" w:type="dxa"/>
          </w:tblCellMar>
        </w:tblPrEx>
        <w:trPr>
          <w:trHeight w:val="664"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上限控制价：本项目不含税上限控制价为人民币壹拾肆万</w:t>
            </w:r>
            <w:r>
              <w:rPr>
                <w:rFonts w:hint="eastAsia" w:ascii="宋体" w:hAnsi="宋体"/>
                <w:lang w:val="en-US" w:eastAsia="zh-CN"/>
              </w:rPr>
              <w:t>壹仟</w:t>
            </w:r>
            <w:r>
              <w:rPr>
                <w:rFonts w:hint="eastAsia" w:ascii="宋体" w:hAnsi="宋体"/>
              </w:rPr>
              <w:t>元整（￥14</w:t>
            </w:r>
            <w:r>
              <w:rPr>
                <w:rFonts w:hint="eastAsia" w:ascii="宋体" w:hAnsi="宋体"/>
                <w:lang w:val="en-US" w:eastAsia="zh-CN"/>
              </w:rPr>
              <w:t>1</w:t>
            </w:r>
            <w:r>
              <w:rPr>
                <w:rFonts w:hint="eastAsia" w:ascii="宋体" w:hAnsi="宋体"/>
              </w:rPr>
              <w:t>000.00元）。比选申请不含税报价高于上限控制价的比选申请文件将按否决比选申请处理。</w:t>
            </w:r>
          </w:p>
        </w:tc>
      </w:tr>
      <w:tr>
        <w:tblPrEx>
          <w:tblCellMar>
            <w:top w:w="0" w:type="dxa"/>
            <w:left w:w="108" w:type="dxa"/>
            <w:bottom w:w="0" w:type="dxa"/>
            <w:right w:w="108" w:type="dxa"/>
          </w:tblCellMar>
        </w:tblPrEx>
        <w:trPr>
          <w:trHeight w:val="73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outlineLvl w:val="2"/>
              <w:rPr>
                <w:rFonts w:ascii="宋体" w:hAnsi="宋体"/>
                <w:u w:val="single"/>
              </w:rPr>
            </w:pPr>
            <w:r>
              <w:rPr>
                <w:rFonts w:hint="eastAsia" w:ascii="宋体" w:hAnsi="宋体"/>
                <w:u w:val="single"/>
              </w:rPr>
              <w:t>满足比选公告中“3.比选申请人资格要求”。</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比选申请人要求澄清比选文件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对比选文件提出疑问的截止时间：</w:t>
            </w:r>
            <w:r>
              <w:rPr>
                <w:rFonts w:hint="eastAsia" w:ascii="宋体" w:hAnsi="宋体"/>
                <w:highlight w:val="none"/>
                <w:lang w:val="en-US" w:eastAsia="zh-CN"/>
              </w:rPr>
              <w:t>2023</w:t>
            </w:r>
            <w:r>
              <w:rPr>
                <w:rFonts w:hint="eastAsia" w:ascii="宋体" w:hAnsi="宋体"/>
                <w:highlight w:val="none"/>
              </w:rPr>
              <w:t>年</w:t>
            </w:r>
            <w:r>
              <w:rPr>
                <w:rFonts w:hint="eastAsia" w:ascii="宋体" w:hAnsi="宋体"/>
                <w:highlight w:val="none"/>
                <w:lang w:val="en-US" w:eastAsia="zh-CN"/>
              </w:rPr>
              <w:t>9</w:t>
            </w:r>
            <w:r>
              <w:rPr>
                <w:rFonts w:hint="eastAsia" w:ascii="宋体" w:hAnsi="宋体"/>
                <w:highlight w:val="none"/>
              </w:rPr>
              <w:t>月</w:t>
            </w:r>
            <w:r>
              <w:rPr>
                <w:rFonts w:hint="eastAsia" w:ascii="宋体" w:hAnsi="宋体"/>
                <w:highlight w:val="none"/>
                <w:lang w:val="en-US" w:eastAsia="zh-CN"/>
              </w:rPr>
              <w:t>11</w:t>
            </w:r>
            <w:r>
              <w:rPr>
                <w:rFonts w:hint="eastAsia" w:ascii="宋体" w:hAnsi="宋体"/>
                <w:highlight w:val="none"/>
              </w:rPr>
              <w:t>日前。比选申请人不在规定期限内提出，比选人有权不予答复，或答复后比选申请截止时间由比选人确定是否顺延。</w:t>
            </w:r>
          </w:p>
          <w:p>
            <w:pPr>
              <w:spacing w:before="0" w:after="0" w:afterAutospacing="0"/>
              <w:ind w:left="0" w:right="0" w:firstLine="0"/>
              <w:rPr>
                <w:rFonts w:ascii="宋体" w:hAnsi="宋体"/>
                <w:highlight w:val="none"/>
                <w:u w:val="single"/>
              </w:rPr>
            </w:pPr>
            <w:r>
              <w:rPr>
                <w:rFonts w:hint="eastAsia" w:ascii="宋体" w:hAnsi="宋体"/>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left"/>
              <w:rPr>
                <w:rFonts w:ascii="宋体" w:hAnsi="宋体"/>
                <w:highlight w:val="none"/>
              </w:rPr>
            </w:pPr>
            <w:r>
              <w:rPr>
                <w:rFonts w:hint="eastAsia" w:ascii="宋体" w:hAnsi="宋体"/>
                <w:kern w:val="2"/>
                <w:highlight w:val="none"/>
              </w:rPr>
              <w:t>南宁轨道交通集团有限责任公司官网(http://www.nngdjt.com</w:t>
            </w:r>
            <w:r>
              <w:rPr>
                <w:rFonts w:hint="eastAsia" w:ascii="宋体" w:hAnsi="宋体"/>
                <w:highlight w:val="none"/>
              </w:rPr>
              <w:t>)、中国e车网(http://www.ecrrc.com)</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pPr>
            <w:r>
              <w:rPr>
                <w:rFonts w:hint="eastAsia"/>
              </w:rPr>
              <w:t>比选申请文件组成部分：资格审查文件、价格文件、技术文件</w:t>
            </w:r>
          </w:p>
          <w:p>
            <w:pPr>
              <w:spacing w:before="0" w:after="0" w:afterAutospacing="0" w:line="276" w:lineRule="auto"/>
              <w:ind w:left="0" w:right="0" w:firstLine="0"/>
            </w:pPr>
            <w:r>
              <w:rPr>
                <w:rFonts w:hint="eastAsia"/>
              </w:rPr>
              <w:t>资格审查文件</w:t>
            </w:r>
          </w:p>
          <w:p>
            <w:pPr>
              <w:spacing w:before="0" w:after="0" w:afterAutospacing="0" w:line="276" w:lineRule="auto"/>
              <w:ind w:left="0" w:right="0" w:firstLine="0"/>
            </w:pPr>
            <w:r>
              <w:rPr>
                <w:rFonts w:hint="eastAsia"/>
              </w:rPr>
              <w:t>（</w:t>
            </w:r>
            <w:r>
              <w:t>1</w:t>
            </w:r>
            <w:r>
              <w:rPr>
                <w:rFonts w:hint="eastAsia"/>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pPr>
            <w:r>
              <w:rPr>
                <w:rFonts w:hint="eastAsia"/>
              </w:rPr>
              <w:t>（2）比选申请人有效的营业执照副本复印件或事业单位法人证书复印件等证明文件；</w:t>
            </w:r>
          </w:p>
          <w:p>
            <w:pPr>
              <w:spacing w:before="0" w:after="0" w:afterAutospacing="0" w:line="276" w:lineRule="auto"/>
              <w:ind w:left="0" w:right="0" w:firstLine="0"/>
            </w:pPr>
            <w:r>
              <w:rPr>
                <w:rFonts w:hint="eastAsia"/>
              </w:rPr>
              <w:t>（3）CMA（检验检测机构资质认定证书）与CNAS（中国合格评定国家认可委员会实验室认可证书）；</w:t>
            </w:r>
          </w:p>
          <w:p>
            <w:pPr>
              <w:spacing w:before="0" w:after="0" w:afterAutospacing="0" w:line="276" w:lineRule="auto"/>
              <w:ind w:left="0" w:right="0" w:firstLine="0"/>
            </w:pPr>
            <w:r>
              <w:rPr>
                <w:rFonts w:hint="eastAsia"/>
              </w:rPr>
              <w:t>（4）承诺书（格式见A3）；</w:t>
            </w:r>
          </w:p>
          <w:p>
            <w:pPr>
              <w:spacing w:before="0" w:after="0" w:afterAutospacing="0"/>
              <w:ind w:left="0" w:right="0" w:firstLine="0"/>
              <w:rPr>
                <w:rFonts w:ascii="宋体" w:hAnsi="宋体"/>
              </w:rPr>
            </w:pPr>
            <w:r>
              <w:rPr>
                <w:rFonts w:hint="eastAsia" w:ascii="宋体" w:hAnsi="宋体"/>
              </w:rPr>
              <w:t>（5）</w:t>
            </w:r>
            <w:r>
              <w:rPr>
                <w:rFonts w:hint="eastAsia" w:hAnsi="宋体"/>
              </w:rPr>
              <w:t>类似项目业绩表（A4），比选申请人须提供相应的业绩证明材料：合同或业主（采购方）证明，合同或业主证明文件中须体现出合同双方、合同签订时间、合同服务、检测部件等内容，否则视为无效证明文件，复印件加盖比选申请人公章，不接受分包或转包的合同业绩；</w:t>
            </w:r>
          </w:p>
          <w:p>
            <w:pPr>
              <w:spacing w:before="0" w:after="0" w:afterAutospacing="0" w:line="276" w:lineRule="auto"/>
              <w:ind w:left="0" w:right="0" w:firstLine="0"/>
            </w:pPr>
            <w:r>
              <w:rPr>
                <w:rFonts w:hint="eastAsia" w:ascii="宋体" w:hAnsi="宋体"/>
              </w:rPr>
              <w:t>（6）</w:t>
            </w:r>
            <w:r>
              <w:rPr>
                <w:rFonts w:hint="eastAsia"/>
              </w:rPr>
              <w:t>比选申请人认为应提交的其他比选申请资料（如有）。</w:t>
            </w:r>
          </w:p>
          <w:p>
            <w:pPr>
              <w:spacing w:before="0" w:after="0" w:afterAutospacing="0" w:line="276" w:lineRule="auto"/>
              <w:ind w:left="0" w:right="0" w:firstLine="0"/>
              <w:rPr>
                <w:b/>
                <w:bCs/>
              </w:rPr>
            </w:pPr>
            <w:r>
              <w:rPr>
                <w:rFonts w:hint="eastAsia"/>
                <w:b/>
                <w:bCs/>
              </w:rPr>
              <w:t>价格文件</w:t>
            </w:r>
          </w:p>
          <w:p>
            <w:pPr>
              <w:spacing w:before="0" w:after="0" w:afterAutospacing="0" w:line="276" w:lineRule="auto"/>
              <w:ind w:left="0" w:right="0" w:firstLine="0"/>
            </w:pPr>
            <w:r>
              <w:rPr>
                <w:rFonts w:hint="eastAsia" w:ascii="宋体" w:hAnsi="宋体"/>
              </w:rPr>
              <w:t>（1）</w:t>
            </w:r>
            <w:r>
              <w:rPr>
                <w:rFonts w:hint="eastAsia"/>
              </w:rPr>
              <w:t>比选申请报价一览表（格式见B1）；</w:t>
            </w:r>
          </w:p>
          <w:p>
            <w:pPr>
              <w:spacing w:before="0" w:after="0" w:afterAutospacing="0" w:line="276" w:lineRule="auto"/>
              <w:ind w:left="0" w:right="0" w:firstLine="0"/>
            </w:pPr>
            <w:r>
              <w:rPr>
                <w:rFonts w:hint="eastAsia" w:ascii="宋体" w:hAnsi="宋体"/>
              </w:rPr>
              <w:t>（2）</w:t>
            </w:r>
            <w:r>
              <w:rPr>
                <w:rFonts w:hint="eastAsia"/>
              </w:rPr>
              <w:t>比选申请函（格式见B2）；</w:t>
            </w:r>
          </w:p>
          <w:p>
            <w:pPr>
              <w:spacing w:before="0" w:after="0" w:afterAutospacing="0" w:line="276" w:lineRule="auto"/>
              <w:ind w:left="0" w:right="0" w:firstLine="0"/>
            </w:pPr>
            <w:r>
              <w:rPr>
                <w:rFonts w:hint="eastAsia" w:ascii="宋体" w:hAnsi="宋体"/>
              </w:rPr>
              <w:t>（3）</w:t>
            </w:r>
            <w:r>
              <w:rPr>
                <w:rFonts w:hint="eastAsia"/>
              </w:rPr>
              <w:t>比选申请报价表（格式见B3）；</w:t>
            </w:r>
          </w:p>
          <w:p>
            <w:pPr>
              <w:spacing w:before="0" w:after="0" w:afterAutospacing="0"/>
              <w:ind w:left="0" w:right="0" w:firstLine="0"/>
            </w:pPr>
            <w:r>
              <w:rPr>
                <w:rFonts w:hint="eastAsia" w:ascii="宋体" w:hAnsi="宋体"/>
              </w:rPr>
              <w:t>（4）</w:t>
            </w:r>
            <w:r>
              <w:rPr>
                <w:rFonts w:hint="eastAsia"/>
              </w:rPr>
              <w:t>比选申请人认为应提交的其他比选申请资料（如有）。</w:t>
            </w:r>
          </w:p>
          <w:p>
            <w:pPr>
              <w:spacing w:before="0" w:after="0" w:afterAutospacing="0" w:line="276" w:lineRule="auto"/>
              <w:ind w:left="0" w:right="0" w:firstLine="0"/>
              <w:rPr>
                <w:b/>
                <w:bCs/>
              </w:rPr>
            </w:pPr>
            <w:r>
              <w:rPr>
                <w:rFonts w:hint="eastAsia"/>
                <w:b/>
                <w:bCs/>
              </w:rPr>
              <w:t>技术文件</w:t>
            </w:r>
          </w:p>
          <w:p>
            <w:pPr>
              <w:numPr>
                <w:ilvl w:val="0"/>
                <w:numId w:val="2"/>
              </w:numPr>
              <w:spacing w:before="0" w:after="0" w:afterAutospacing="0" w:line="276" w:lineRule="auto"/>
              <w:ind w:right="0"/>
            </w:pPr>
            <w:r>
              <w:rPr>
                <w:rFonts w:hint="eastAsia"/>
              </w:rPr>
              <w:t>技术响应表（格式见C1）；</w:t>
            </w:r>
          </w:p>
          <w:p>
            <w:pPr>
              <w:numPr>
                <w:ilvl w:val="0"/>
                <w:numId w:val="2"/>
              </w:numPr>
              <w:spacing w:before="0" w:after="0" w:afterAutospacing="0" w:line="276" w:lineRule="auto"/>
              <w:ind w:right="0"/>
              <w:rPr>
                <w:rFonts w:ascii="宋体" w:hAnsi="宋体"/>
              </w:rPr>
            </w:pPr>
            <w:r>
              <w:rPr>
                <w:rFonts w:hint="eastAsia" w:ascii="宋体" w:hAnsi="宋体"/>
              </w:rPr>
              <w:t>按期完成承诺书（格式见C2）；</w:t>
            </w:r>
          </w:p>
          <w:p>
            <w:pPr>
              <w:spacing w:before="0" w:after="0" w:afterAutospacing="0" w:line="276" w:lineRule="auto"/>
              <w:ind w:left="0" w:right="0" w:firstLine="0"/>
            </w:pPr>
            <w:r>
              <w:rPr>
                <w:rFonts w:hint="eastAsia"/>
              </w:rPr>
              <w:t>（3）商务响应表（格式见C3）；</w:t>
            </w:r>
          </w:p>
          <w:p>
            <w:pPr>
              <w:spacing w:before="0" w:after="0" w:afterAutospacing="0" w:line="276" w:lineRule="auto"/>
              <w:ind w:left="0" w:right="0" w:firstLine="0"/>
            </w:pPr>
            <w:r>
              <w:rPr>
                <w:rFonts w:hint="eastAsia"/>
              </w:rPr>
              <w:t>（4）橡胶件检测方案（包括但不限于如何对本项目橡胶件进行检测等内容，格式自拟）；</w:t>
            </w:r>
          </w:p>
          <w:p>
            <w:pPr>
              <w:spacing w:before="0" w:after="0" w:afterAutospacing="0"/>
              <w:ind w:left="0" w:right="0" w:firstLine="0"/>
            </w:pPr>
            <w:r>
              <w:rPr>
                <w:rFonts w:hint="eastAsia"/>
              </w:rPr>
              <w:t>（5）比选申请人认为应提交的其他比选申请资料（如有）。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b/>
              </w:rPr>
              <w:t>本项目采用</w:t>
            </w:r>
            <w:r>
              <w:rPr>
                <w:rFonts w:hint="eastAsia" w:ascii="宋体" w:hAnsi="宋体"/>
                <w:b/>
              </w:rPr>
              <w:t>不</w:t>
            </w:r>
            <w:r>
              <w:rPr>
                <w:rFonts w:ascii="宋体" w:hAnsi="宋体"/>
                <w:b/>
              </w:rPr>
              <w:t>含</w:t>
            </w:r>
            <w:r>
              <w:rPr>
                <w:rFonts w:hint="eastAsia" w:ascii="宋体" w:hAnsi="宋体"/>
                <w:b/>
              </w:rPr>
              <w:t>增值</w:t>
            </w:r>
            <w:r>
              <w:rPr>
                <w:rFonts w:ascii="宋体" w:hAnsi="宋体"/>
                <w:b/>
              </w:rPr>
              <w:t>税报价，</w:t>
            </w:r>
            <w:r>
              <w:rPr>
                <w:rFonts w:hint="eastAsia" w:ascii="宋体" w:hAnsi="宋体"/>
                <w:b/>
              </w:rPr>
              <w:t>在签订本项目合同时，遵循国家现行税法的相关规定在中选人不含增值税单价的基础上逐项增加增值税额，并明确相应增值税税率和增值税额，含税价格计算保留小数点后两位，含税合价为单价与数量的乘积，合同总价为分项合价之和。本合同最终税金在结算阶段，按实际产生的税金进行核算，但合同不含税价格不因国家税率调整而调整。</w:t>
            </w:r>
          </w:p>
          <w:p>
            <w:pPr>
              <w:spacing w:before="0" w:after="0" w:afterAutospacing="0"/>
              <w:ind w:left="0" w:right="0" w:firstLine="0"/>
              <w:rPr>
                <w:rFonts w:ascii="宋体" w:hAnsi="宋体"/>
              </w:rPr>
            </w:pPr>
            <w:r>
              <w:rPr>
                <w:rFonts w:hint="eastAsia" w:ascii="宋体" w:hAnsi="宋体"/>
              </w:rPr>
              <w:t>（</w:t>
            </w:r>
            <w:r>
              <w:rPr>
                <w:rFonts w:ascii="宋体" w:hAnsi="宋体"/>
              </w:rPr>
              <w:t>2</w:t>
            </w:r>
            <w:r>
              <w:rPr>
                <w:rFonts w:hint="eastAsia" w:ascii="宋体" w:hAnsi="宋体"/>
              </w:rPr>
              <w:t>）比选申请人须按第五章《用户需求书》中的技术需求及工程量清单的顺序填报比选申请报价表，不允许打乱顺序。</w:t>
            </w:r>
          </w:p>
        </w:tc>
      </w:tr>
      <w:tr>
        <w:tblPrEx>
          <w:tblCellMar>
            <w:top w:w="0" w:type="dxa"/>
            <w:left w:w="108" w:type="dxa"/>
            <w:bottom w:w="0" w:type="dxa"/>
            <w:right w:w="108" w:type="dxa"/>
          </w:tblCellMar>
        </w:tblPrEx>
        <w:trPr>
          <w:trHeight w:val="54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630" w:firstLineChars="300"/>
              <w:rPr>
                <w:rFonts w:ascii="宋体" w:hAnsi="宋体"/>
                <w:highlight w:val="none"/>
              </w:rPr>
            </w:pPr>
            <w:bookmarkStart w:id="63" w:name="CgwjmbEntity：KBSJ3_0"/>
            <w:r>
              <w:rPr>
                <w:rFonts w:hint="eastAsia" w:ascii="宋体" w:hAnsi="宋体"/>
                <w:highlight w:val="none"/>
                <w:lang w:val="en-US" w:eastAsia="zh-CN"/>
              </w:rPr>
              <w:t>2023</w:t>
            </w:r>
            <w:r>
              <w:rPr>
                <w:rFonts w:hint="eastAsia" w:ascii="宋体" w:hAnsi="宋体"/>
                <w:highlight w:val="none"/>
              </w:rPr>
              <w:t>年</w:t>
            </w:r>
            <w:r>
              <w:rPr>
                <w:rFonts w:hint="eastAsia" w:ascii="宋体" w:hAnsi="宋体"/>
                <w:highlight w:val="none"/>
                <w:lang w:val="en-US" w:eastAsia="zh-CN"/>
              </w:rPr>
              <w:t>9</w:t>
            </w:r>
            <w:r>
              <w:rPr>
                <w:rFonts w:hint="eastAsia" w:ascii="宋体" w:hAnsi="宋体"/>
                <w:highlight w:val="none"/>
              </w:rPr>
              <w:t>月</w:t>
            </w:r>
            <w:r>
              <w:rPr>
                <w:rFonts w:hint="eastAsia" w:ascii="宋体" w:hAnsi="宋体"/>
                <w:highlight w:val="none"/>
                <w:lang w:val="en-US" w:eastAsia="zh-CN"/>
              </w:rPr>
              <w:t>15</w:t>
            </w:r>
            <w:r>
              <w:rPr>
                <w:rFonts w:hint="eastAsia" w:ascii="宋体" w:hAnsi="宋体"/>
                <w:highlight w:val="none"/>
              </w:rPr>
              <w:t>日</w:t>
            </w:r>
            <w:r>
              <w:rPr>
                <w:rFonts w:hint="eastAsia" w:ascii="宋体" w:hAnsi="宋体"/>
                <w:highlight w:val="none"/>
                <w:lang w:val="en-US" w:eastAsia="zh-CN"/>
              </w:rPr>
              <w:t>15</w:t>
            </w:r>
            <w:r>
              <w:rPr>
                <w:rFonts w:hint="eastAsia" w:ascii="宋体" w:hAnsi="宋体"/>
                <w:highlight w:val="none"/>
              </w:rPr>
              <w:t>时</w:t>
            </w:r>
            <w:r>
              <w:rPr>
                <w:rFonts w:hint="eastAsia" w:ascii="宋体" w:hAnsi="宋体"/>
                <w:highlight w:val="none"/>
                <w:lang w:val="en-US" w:eastAsia="zh-CN"/>
              </w:rPr>
              <w:t>00</w:t>
            </w:r>
            <w:r>
              <w:rPr>
                <w:rFonts w:hint="eastAsia" w:ascii="宋体" w:hAnsi="宋体"/>
                <w:highlight w:val="none"/>
              </w:rPr>
              <w:t>分</w:t>
            </w:r>
            <w:bookmarkEnd w:id="63"/>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单位：南宁轨道交通运营有限公司</w:t>
            </w:r>
          </w:p>
          <w:p>
            <w:pPr>
              <w:spacing w:before="0" w:after="0" w:afterAutospacing="0"/>
              <w:ind w:left="0" w:right="0" w:firstLine="0"/>
              <w:rPr>
                <w:rFonts w:ascii="宋体" w:hAnsi="宋体"/>
                <w:highlight w:val="none"/>
                <w:u w:val="single"/>
              </w:rPr>
            </w:pPr>
            <w:r>
              <w:rPr>
                <w:rFonts w:hint="eastAsia" w:ascii="宋体" w:hAnsi="宋体"/>
                <w:highlight w:val="none"/>
              </w:rPr>
              <w:t>地址：</w:t>
            </w:r>
            <w:r>
              <w:rPr>
                <w:rFonts w:ascii="宋体" w:hAnsi="宋体"/>
                <w:highlight w:val="none"/>
              </w:rPr>
              <w:t>南宁市青秀区云景路</w:t>
            </w:r>
            <w:r>
              <w:rPr>
                <w:rFonts w:hint="eastAsia" w:ascii="宋体" w:hAnsi="宋体"/>
                <w:highlight w:val="none"/>
              </w:rPr>
              <w:t>83号屯里车辆段</w:t>
            </w:r>
            <w:r>
              <w:rPr>
                <w:rFonts w:hint="eastAsia" w:ascii="宋体" w:hAnsi="宋体"/>
                <w:highlight w:val="none"/>
                <w:u w:val="single"/>
                <w:lang w:val="en-US" w:eastAsia="zh-CN"/>
              </w:rPr>
              <w:t>综合楼205会议</w:t>
            </w:r>
            <w:r>
              <w:rPr>
                <w:rFonts w:hint="eastAsia" w:ascii="宋体" w:hAnsi="宋体"/>
                <w:highlight w:val="none"/>
              </w:rPr>
              <w:t xml:space="preserve">室 </w:t>
            </w:r>
          </w:p>
          <w:p>
            <w:pPr>
              <w:spacing w:before="0" w:after="0" w:afterAutospacing="0"/>
              <w:ind w:right="0"/>
              <w:rPr>
                <w:rFonts w:ascii="宋体" w:hAnsi="宋体"/>
                <w:highlight w:val="none"/>
                <w:u w:val="single"/>
              </w:rPr>
            </w:pPr>
            <w:r>
              <w:rPr>
                <w:rFonts w:hint="eastAsia" w:ascii="宋体" w:hAnsi="宋体"/>
                <w:highlight w:val="none"/>
              </w:rPr>
              <w:t>递交现场联系人：</w:t>
            </w:r>
            <w:r>
              <w:rPr>
                <w:rFonts w:hint="eastAsia" w:ascii="宋体" w:hAnsi="宋体"/>
                <w:highlight w:val="none"/>
                <w:lang w:val="en-US" w:eastAsia="zh-CN"/>
              </w:rPr>
              <w:t>白</w:t>
            </w:r>
            <w:r>
              <w:rPr>
                <w:rFonts w:hint="eastAsia" w:ascii="宋体" w:hAnsi="宋体"/>
                <w:highlight w:val="none"/>
              </w:rPr>
              <w:t xml:space="preserve">工   </w:t>
            </w:r>
            <w:bookmarkStart w:id="1531" w:name="_GoBack"/>
            <w:bookmarkEnd w:id="1531"/>
            <w:r>
              <w:rPr>
                <w:rFonts w:hint="eastAsia" w:ascii="宋体" w:hAnsi="宋体"/>
                <w:highlight w:val="none"/>
                <w:lang w:val="en-US" w:eastAsia="zh-CN"/>
              </w:rPr>
              <w:t>17307710717</w:t>
            </w:r>
            <w:r>
              <w:rPr>
                <w:rFonts w:hint="eastAsia" w:ascii="宋体" w:hAnsi="宋体"/>
                <w:highlight w:val="none"/>
              </w:rPr>
              <w:t>；</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综合评分法（评审价以不含税总报价为基准）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中选人如放弃中选资格，则纳入比选人的不良信用名单名库，并禁止1年内投属于比选人的项目。</w:t>
            </w:r>
          </w:p>
        </w:tc>
      </w:tr>
      <w:tr>
        <w:tblPrEx>
          <w:tblCellMar>
            <w:top w:w="0" w:type="dxa"/>
            <w:left w:w="108" w:type="dxa"/>
            <w:bottom w:w="0" w:type="dxa"/>
            <w:right w:w="108" w:type="dxa"/>
          </w:tblCellMar>
        </w:tblPrEx>
        <w:trPr>
          <w:trHeight w:val="3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无</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36.5</w:t>
            </w:r>
          </w:p>
        </w:tc>
        <w:tc>
          <w:tcPr>
            <w:tcW w:w="1843" w:type="dxa"/>
            <w:vMerge w:val="restar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ind w:left="0" w:right="0" w:firstLine="0"/>
              <w:rPr>
                <w:rFonts w:ascii="宋体" w:hAnsi="宋体"/>
              </w:rPr>
            </w:pPr>
            <w:r>
              <w:rPr>
                <w:rFonts w:ascii="宋体" w:hAnsi="宋体"/>
              </w:rPr>
              <w:t>4.</w:t>
            </w:r>
            <w:r>
              <w:rPr>
                <w:rFonts w:hint="eastAsia" w:ascii="宋体" w:hAnsi="宋体"/>
              </w:rPr>
              <w:t>比选申请文件电子版形式：每份</w:t>
            </w:r>
            <w:r>
              <w:rPr>
                <w:rFonts w:ascii="宋体" w:hAnsi="宋体"/>
              </w:rPr>
              <w:t>以office</w:t>
            </w:r>
            <w:r>
              <w:rPr>
                <w:rFonts w:hint="eastAsia" w:ascii="宋体" w:hAnsi="宋体"/>
              </w:rPr>
              <w:t>或WPS版本</w:t>
            </w:r>
            <w:r>
              <w:rPr>
                <w:rFonts w:ascii="宋体" w:hAnsi="宋体"/>
              </w:rPr>
              <w:t>(</w:t>
            </w:r>
            <w:r>
              <w:rPr>
                <w:rFonts w:hint="eastAsia" w:ascii="宋体" w:hAnsi="宋体"/>
              </w:rPr>
              <w:t>文本内容为</w:t>
            </w:r>
            <w:r>
              <w:rPr>
                <w:rFonts w:ascii="宋体" w:hAnsi="宋体"/>
              </w:rPr>
              <w:t>Word</w:t>
            </w:r>
            <w:r>
              <w:rPr>
                <w:rFonts w:hint="eastAsia" w:ascii="宋体" w:hAnsi="宋体"/>
              </w:rPr>
              <w:t>格式，清单为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(资格</w:t>
            </w:r>
            <w:r>
              <w:rPr>
                <w:rFonts w:hint="eastAsia" w:ascii="宋体" w:hAnsi="宋体"/>
              </w:rPr>
              <w:t>审查</w:t>
            </w:r>
            <w:r>
              <w:rPr>
                <w:rFonts w:ascii="宋体" w:hAnsi="宋体"/>
              </w:rPr>
              <w:t>文件、价格文件和技术文件)</w:t>
            </w:r>
            <w:r>
              <w:rPr>
                <w:rFonts w:hint="eastAsia" w:ascii="宋体" w:hAnsi="宋体"/>
              </w:rPr>
              <w:t>和盖章后的全套比选申请文件</w:t>
            </w:r>
            <w:r>
              <w:rPr>
                <w:rFonts w:ascii="宋体" w:hAnsi="宋体"/>
              </w:rPr>
              <w:t>(资格</w:t>
            </w:r>
            <w:r>
              <w:rPr>
                <w:rFonts w:hint="eastAsia" w:ascii="宋体" w:hAnsi="宋体"/>
              </w:rPr>
              <w:t>审查</w:t>
            </w:r>
            <w:r>
              <w:rPr>
                <w:rFonts w:ascii="宋体" w:hAnsi="宋体"/>
              </w:rPr>
              <w:t>文件、价格文件和技术文件)</w:t>
            </w:r>
            <w:r>
              <w:rPr>
                <w:rFonts w:hint="eastAsia" w:ascii="宋体" w:hAnsi="宋体"/>
              </w:rPr>
              <w:t>正本的</w:t>
            </w:r>
            <w:r>
              <w:rPr>
                <w:rFonts w:ascii="宋体" w:hAnsi="宋体"/>
              </w:rPr>
              <w:t>PDF</w:t>
            </w:r>
            <w:r>
              <w:rPr>
                <w:rFonts w:hint="eastAsia" w:ascii="宋体" w:hAnsi="宋体"/>
              </w:rPr>
              <w:t>版本扫描件</w:t>
            </w:r>
            <w:r>
              <w:rPr>
                <w:rFonts w:ascii="宋体" w:hAnsi="宋体"/>
              </w:rPr>
              <w:t>。</w:t>
            </w:r>
          </w:p>
          <w:p>
            <w:pPr>
              <w:spacing w:before="0" w:after="0" w:afterAutospacing="0"/>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pPr>
            <w:r>
              <w:rPr>
                <w:rFonts w:hint="eastAsia"/>
              </w:rPr>
              <w:t>本项目比选文件的最终解释权归比选人。</w:t>
            </w:r>
          </w:p>
        </w:tc>
      </w:tr>
    </w:tbl>
    <w:p>
      <w:pPr>
        <w:pStyle w:val="5"/>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64" w:name="_Toc322528193"/>
      <w:bookmarkEnd w:id="64"/>
      <w:bookmarkStart w:id="65" w:name="_Toc9026"/>
      <w:bookmarkStart w:id="66" w:name="_Toc1236"/>
      <w:bookmarkStart w:id="67" w:name="_Toc25399"/>
      <w:bookmarkStart w:id="68" w:name="_Toc12737"/>
      <w:bookmarkStart w:id="69" w:name="_Toc25750590"/>
      <w:bookmarkStart w:id="70" w:name="_Toc22940"/>
      <w:bookmarkStart w:id="71" w:name="_Toc23614"/>
      <w:r>
        <w:rPr>
          <w:rFonts w:hint="eastAsia" w:ascii="宋体" w:hAnsi="宋体" w:eastAsia="宋体"/>
          <w:sz w:val="24"/>
          <w:szCs w:val="24"/>
        </w:rPr>
        <w:t>一、</w:t>
      </w:r>
      <w:r>
        <w:rPr>
          <w:rFonts w:ascii="宋体" w:hAnsi="宋体" w:eastAsia="宋体"/>
          <w:sz w:val="24"/>
          <w:szCs w:val="24"/>
        </w:rPr>
        <w:t>说明</w:t>
      </w:r>
      <w:bookmarkEnd w:id="65"/>
      <w:bookmarkEnd w:id="66"/>
      <w:bookmarkEnd w:id="67"/>
      <w:bookmarkEnd w:id="68"/>
      <w:bookmarkEnd w:id="69"/>
      <w:bookmarkEnd w:id="70"/>
      <w:bookmarkEnd w:id="71"/>
    </w:p>
    <w:p>
      <w:pPr>
        <w:pStyle w:val="6"/>
        <w:spacing w:before="0" w:after="0" w:afterAutospacing="0"/>
        <w:ind w:left="0" w:right="0" w:firstLine="422" w:firstLineChars="200"/>
        <w:rPr>
          <w:rFonts w:ascii="宋体" w:hAnsi="宋体"/>
          <w:sz w:val="21"/>
          <w:szCs w:val="21"/>
        </w:rPr>
      </w:pPr>
      <w:bookmarkStart w:id="72" w:name="_Toc14066"/>
      <w:bookmarkStart w:id="73" w:name="_Toc9366"/>
      <w:bookmarkStart w:id="74" w:name="_Toc375039064"/>
      <w:bookmarkStart w:id="75" w:name="_Toc463"/>
      <w:bookmarkStart w:id="76" w:name="_Toc3364"/>
      <w:bookmarkStart w:id="77" w:name="_Toc492478718"/>
      <w:bookmarkStart w:id="78" w:name="_Toc6861"/>
      <w:bookmarkStart w:id="79" w:name="_Toc7778"/>
      <w:bookmarkStart w:id="80" w:name="_Toc12983505"/>
      <w:bookmarkStart w:id="81" w:name="_Toc3804"/>
      <w:bookmarkStart w:id="82" w:name="_Toc31563"/>
      <w:bookmarkStart w:id="83" w:name="_Toc12526"/>
      <w:bookmarkStart w:id="84" w:name="_Toc17845"/>
      <w:bookmarkStart w:id="85" w:name="_Toc30570"/>
      <w:bookmarkStart w:id="86" w:name="_Toc383891168"/>
      <w:bookmarkStart w:id="87" w:name="_Toc21139"/>
      <w:bookmarkStart w:id="88" w:name="_Toc27079"/>
      <w:bookmarkStart w:id="89" w:name="_Toc5495"/>
      <w:bookmarkStart w:id="90" w:name="_Toc25750591"/>
      <w:bookmarkStart w:id="91" w:name="_Toc11224"/>
      <w:bookmarkStart w:id="92" w:name="_Toc390098419"/>
      <w:bookmarkStart w:id="93" w:name="_Toc8166"/>
      <w:bookmarkStart w:id="94" w:name="_Toc385427793"/>
      <w:bookmarkStart w:id="95" w:name="_Toc28326"/>
      <w:r>
        <w:rPr>
          <w:rFonts w:hint="eastAsia" w:ascii="宋体" w:hAnsi="宋体"/>
          <w:sz w:val="21"/>
          <w:szCs w:val="21"/>
        </w:rPr>
        <w:t xml:space="preserve">1. </w:t>
      </w:r>
      <w:r>
        <w:rPr>
          <w:rFonts w:ascii="宋体" w:hAnsi="宋体"/>
          <w:sz w:val="21"/>
          <w:szCs w:val="21"/>
        </w:rPr>
        <w:t>项目说明</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 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1.5工期：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 上限控制价</w:t>
      </w:r>
      <w:r>
        <w:rPr>
          <w:rFonts w:ascii="宋体" w:hAnsi="宋体"/>
        </w:rPr>
        <w:t>：详见比选申请须知前附表。</w:t>
      </w:r>
    </w:p>
    <w:p>
      <w:pPr>
        <w:pStyle w:val="6"/>
        <w:spacing w:before="0" w:after="0" w:afterAutospacing="0"/>
        <w:ind w:left="0" w:right="0" w:firstLine="422" w:firstLineChars="200"/>
        <w:rPr>
          <w:rFonts w:ascii="宋体" w:hAnsi="宋体"/>
          <w:sz w:val="21"/>
          <w:szCs w:val="21"/>
        </w:rPr>
      </w:pPr>
      <w:bookmarkStart w:id="96" w:name="_Toc390098420"/>
      <w:bookmarkStart w:id="97" w:name="_Toc27845"/>
      <w:bookmarkStart w:id="98" w:name="_Toc27847"/>
      <w:bookmarkStart w:id="99" w:name="_Toc16860"/>
      <w:bookmarkStart w:id="100" w:name="_Toc492478719"/>
      <w:bookmarkStart w:id="101" w:name="_Toc6038"/>
      <w:bookmarkStart w:id="102" w:name="_Toc383891169"/>
      <w:bookmarkStart w:id="103" w:name="_Toc21874"/>
      <w:bookmarkStart w:id="104" w:name="_Toc8052"/>
      <w:bookmarkStart w:id="105" w:name="_Toc24429"/>
      <w:bookmarkStart w:id="106" w:name="_Toc10907"/>
      <w:bookmarkStart w:id="107" w:name="_Toc22987"/>
      <w:bookmarkStart w:id="108" w:name="_Toc1552"/>
      <w:bookmarkStart w:id="109" w:name="_Toc25750592"/>
      <w:bookmarkStart w:id="110" w:name="_Toc6985"/>
      <w:bookmarkStart w:id="111" w:name="_Toc375039065"/>
      <w:bookmarkStart w:id="112" w:name="_Toc12983506"/>
      <w:bookmarkStart w:id="113" w:name="_Toc385427794"/>
      <w:bookmarkStart w:id="114" w:name="_Toc31314"/>
      <w:bookmarkStart w:id="115" w:name="_Toc4780"/>
      <w:r>
        <w:rPr>
          <w:rFonts w:hint="eastAsia" w:ascii="宋体" w:hAnsi="宋体"/>
          <w:sz w:val="21"/>
          <w:szCs w:val="21"/>
        </w:rPr>
        <w:t>2. 定义</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w:t>
      </w:r>
      <w:r>
        <w:rPr>
          <w:rFonts w:hint="eastAsia" w:ascii="宋体" w:hAnsi="宋体"/>
        </w:rPr>
        <w:t>比选人</w:t>
      </w:r>
      <w:r>
        <w:rPr>
          <w:rFonts w:ascii="宋体" w:hAnsi="宋体"/>
        </w:rPr>
        <w:t>”系指提出</w:t>
      </w:r>
      <w:r>
        <w:rPr>
          <w:rFonts w:hint="eastAsia" w:ascii="宋体" w:hAnsi="宋体"/>
        </w:rPr>
        <w:t>比选</w:t>
      </w:r>
      <w:r>
        <w:rPr>
          <w:rFonts w:ascii="宋体" w:hAnsi="宋体"/>
        </w:rPr>
        <w:t>采购</w:t>
      </w:r>
      <w:r>
        <w:rPr>
          <w:rFonts w:hint="eastAsia" w:ascii="宋体" w:hAnsi="宋体"/>
        </w:rPr>
        <w:t>服务</w:t>
      </w:r>
      <w:r>
        <w:rPr>
          <w:rFonts w:ascii="宋体" w:hAnsi="宋体"/>
        </w:rPr>
        <w:t>的国家机关、企业、事业单位或其它组织。本比选文件中</w:t>
      </w:r>
      <w:r>
        <w:rPr>
          <w:rFonts w:hint="eastAsia" w:ascii="宋体" w:hAnsi="宋体"/>
        </w:rPr>
        <w:t>比选人</w:t>
      </w:r>
      <w:r>
        <w:rPr>
          <w:rFonts w:ascii="宋体" w:hAnsi="宋体"/>
        </w:rPr>
        <w:t>是指</w:t>
      </w:r>
      <w:r>
        <w:rPr>
          <w:rFonts w:hint="eastAsia" w:ascii="宋体" w:hAnsi="宋体"/>
        </w:rPr>
        <w:t>南宁轨道交通运营有限公司</w:t>
      </w:r>
      <w:r>
        <w:rPr>
          <w:rFonts w:ascii="宋体" w:hAnsi="宋体"/>
        </w:rPr>
        <w:t>。如无特别说明本比选文件中的“发包人、业主、甲方和</w:t>
      </w:r>
      <w:r>
        <w:rPr>
          <w:rFonts w:hint="eastAsia" w:ascii="宋体" w:hAnsi="宋体"/>
        </w:rPr>
        <w:t>比选人</w:t>
      </w:r>
      <w:r>
        <w:rPr>
          <w:rFonts w:ascii="宋体" w:hAnsi="宋体"/>
        </w:rPr>
        <w:t>”均指：</w:t>
      </w:r>
      <w:r>
        <w:rPr>
          <w:rFonts w:hint="eastAsia" w:ascii="宋体" w:hAnsi="宋体"/>
        </w:rPr>
        <w:t>南宁轨道交通运营有限公司</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2.6  </w:t>
      </w:r>
      <w:r>
        <w:rPr>
          <w:rFonts w:ascii="宋体" w:hAnsi="宋体"/>
        </w:rPr>
        <w:t>“</w:t>
      </w:r>
      <w:r>
        <w:rPr>
          <w:rFonts w:hint="eastAsia" w:ascii="宋体" w:hAnsi="宋体"/>
        </w:rPr>
        <w:t>服务</w:t>
      </w:r>
      <w:r>
        <w:rPr>
          <w:rFonts w:ascii="宋体" w:hAnsi="宋体"/>
        </w:rPr>
        <w:t>”</w:t>
      </w:r>
      <w:r>
        <w:rPr>
          <w:rFonts w:hint="eastAsia" w:ascii="宋体" w:hAnsi="宋体"/>
        </w:rPr>
        <w:t>系指</w:t>
      </w:r>
      <w:r>
        <w:rPr>
          <w:rFonts w:hint="eastAsia" w:ascii="宋体" w:hAnsi="宋体"/>
          <w:lang w:eastAsia="zh-CN"/>
        </w:rPr>
        <w:t>比选</w:t>
      </w:r>
      <w:r>
        <w:rPr>
          <w:rFonts w:hint="eastAsia" w:ascii="宋体" w:hAnsi="宋体"/>
        </w:rPr>
        <w:t>文件规定比选申请人须承担的一切合同标的内容及配套工作。</w:t>
      </w:r>
    </w:p>
    <w:p>
      <w:pPr>
        <w:tabs>
          <w:tab w:val="left" w:pos="8364"/>
        </w:tabs>
        <w:spacing w:before="0" w:after="0" w:afterAutospacing="0"/>
        <w:ind w:left="0" w:right="0" w:firstLine="420" w:firstLineChars="200"/>
        <w:rPr>
          <w:rFonts w:ascii="宋体" w:hAnsi="宋体"/>
        </w:rPr>
      </w:pPr>
      <w:r>
        <w:rPr>
          <w:rFonts w:hint="eastAsia" w:ascii="宋体" w:hAnsi="宋体"/>
        </w:rPr>
        <w:t>2.7 “电子文件”系指以office或WPS版本(文本内容为Word格式，清单为word或Excel格式）的全套比选申请文件(资格文件、价格文件和技术文件)和盖章后的全套比选申请文件(资格文件、价格文件和技术文件)正本的PDF版本扫描件</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2.8 </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2.9 </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tabs>
          <w:tab w:val="left" w:pos="8364"/>
        </w:tabs>
        <w:spacing w:before="0" w:after="0" w:afterAutospacing="0"/>
        <w:ind w:left="0" w:right="0" w:firstLine="420" w:firstLineChars="200"/>
        <w:rPr>
          <w:rFonts w:ascii="宋体" w:hAnsi="宋体"/>
        </w:rPr>
      </w:pPr>
      <w:r>
        <w:rPr>
          <w:rFonts w:hint="eastAsia" w:ascii="宋体" w:hAnsi="宋体"/>
        </w:rPr>
        <w:t>2.11“</w:t>
      </w:r>
      <w:r>
        <w:rPr>
          <w:rFonts w:hint="eastAsia" w:ascii="宋体" w:hAnsi="宋体"/>
          <w:lang w:eastAsia="zh-CN"/>
        </w:rPr>
        <w:t>比选申请</w:t>
      </w:r>
      <w:r>
        <w:rPr>
          <w:rFonts w:hint="eastAsia" w:ascii="宋体" w:hAnsi="宋体"/>
        </w:rPr>
        <w:t>报价”系指不含增值税报价。</w:t>
      </w:r>
    </w:p>
    <w:p>
      <w:pPr>
        <w:pStyle w:val="6"/>
        <w:spacing w:before="0" w:after="0" w:afterAutospacing="0"/>
        <w:ind w:left="0" w:right="0" w:firstLine="422" w:firstLineChars="200"/>
        <w:rPr>
          <w:rFonts w:ascii="宋体" w:hAnsi="宋体"/>
          <w:sz w:val="21"/>
          <w:szCs w:val="21"/>
        </w:rPr>
      </w:pPr>
      <w:bookmarkStart w:id="116" w:name="_Toc492478720"/>
      <w:bookmarkStart w:id="117" w:name="_Toc385427795"/>
      <w:bookmarkStart w:id="118" w:name="_Toc390098421"/>
      <w:bookmarkStart w:id="119" w:name="_Toc375039066"/>
      <w:bookmarkStart w:id="120" w:name="_Toc383891170"/>
      <w:bookmarkStart w:id="121" w:name="_Toc31477"/>
      <w:bookmarkStart w:id="122" w:name="_Toc17568"/>
      <w:bookmarkStart w:id="123" w:name="_Toc307"/>
      <w:bookmarkStart w:id="124" w:name="_Toc25750593"/>
      <w:bookmarkStart w:id="125" w:name="_Toc8288"/>
      <w:bookmarkStart w:id="126" w:name="_Toc29859"/>
      <w:bookmarkStart w:id="127" w:name="_Toc12940"/>
      <w:bookmarkStart w:id="128" w:name="_Toc22115"/>
      <w:bookmarkStart w:id="129" w:name="_Toc30498"/>
      <w:bookmarkStart w:id="130" w:name="_Toc7797"/>
      <w:bookmarkStart w:id="131" w:name="_Toc9929"/>
      <w:bookmarkStart w:id="132" w:name="_Toc17075"/>
      <w:bookmarkStart w:id="133" w:name="_Toc7306"/>
      <w:bookmarkStart w:id="134" w:name="_Toc10653"/>
      <w:bookmarkStart w:id="135" w:name="_Toc29401"/>
      <w:bookmarkStart w:id="136" w:name="_Toc25786"/>
      <w:bookmarkStart w:id="137" w:name="_Toc22845"/>
      <w:bookmarkStart w:id="138" w:name="_Toc24844"/>
      <w:bookmarkStart w:id="139" w:name="_Toc12983507"/>
      <w:r>
        <w:rPr>
          <w:rFonts w:ascii="宋体" w:hAnsi="宋体"/>
          <w:sz w:val="21"/>
          <w:szCs w:val="21"/>
        </w:rPr>
        <w:t>3. 比选申请人</w:t>
      </w:r>
      <w:bookmarkEnd w:id="116"/>
      <w:bookmarkEnd w:id="117"/>
      <w:bookmarkEnd w:id="118"/>
      <w:bookmarkEnd w:id="119"/>
      <w:bookmarkEnd w:id="120"/>
      <w:r>
        <w:rPr>
          <w:rFonts w:hint="eastAsia" w:ascii="宋体" w:hAnsi="宋体"/>
          <w:sz w:val="21"/>
          <w:szCs w:val="21"/>
        </w:rPr>
        <w:t>应具备的资格条件</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（2）处于被责令停业，或比选申请资格被住建部、国家安监总局、广西区或南宁市建设行政主管部门取消，或财产被接管、破产状态；</w:t>
      </w:r>
    </w:p>
    <w:p>
      <w:pPr>
        <w:spacing w:before="0" w:after="0" w:afterAutospacing="0"/>
        <w:ind w:left="0" w:right="0"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（7）在比选申请文件中提供虚假文件和</w:t>
      </w:r>
      <w:r>
        <w:rPr>
          <w:rFonts w:ascii="宋体" w:hAnsi="宋体"/>
        </w:rPr>
        <w:t>/</w:t>
      </w:r>
      <w:r>
        <w:rPr>
          <w:rFonts w:hint="eastAsia" w:ascii="宋体" w:hAnsi="宋体"/>
        </w:rPr>
        <w:t>或资料的。</w:t>
      </w:r>
    </w:p>
    <w:p>
      <w:pPr>
        <w:pStyle w:val="6"/>
        <w:spacing w:before="0" w:after="0" w:afterAutospacing="0"/>
        <w:ind w:left="0" w:right="0" w:firstLine="422" w:firstLineChars="200"/>
        <w:rPr>
          <w:rFonts w:ascii="宋体" w:hAnsi="宋体"/>
          <w:sz w:val="21"/>
          <w:szCs w:val="21"/>
        </w:rPr>
      </w:pPr>
      <w:bookmarkStart w:id="140" w:name="_Toc1125"/>
      <w:bookmarkStart w:id="141" w:name="_Toc25914"/>
      <w:bookmarkStart w:id="142" w:name="_Toc19081"/>
      <w:bookmarkStart w:id="143" w:name="_Toc375039067"/>
      <w:bookmarkStart w:id="144" w:name="_Toc383891171"/>
      <w:bookmarkStart w:id="145" w:name="_Toc7832"/>
      <w:bookmarkStart w:id="146" w:name="_Toc12983508"/>
      <w:bookmarkStart w:id="147" w:name="_Toc21602"/>
      <w:bookmarkStart w:id="148" w:name="_Toc21215"/>
      <w:bookmarkStart w:id="149" w:name="_Toc23146"/>
      <w:bookmarkStart w:id="150" w:name="_Toc24103"/>
      <w:bookmarkStart w:id="151" w:name="_Toc390098422"/>
      <w:bookmarkStart w:id="152" w:name="_Toc385427796"/>
      <w:bookmarkStart w:id="153" w:name="_Toc18668"/>
      <w:bookmarkStart w:id="154" w:name="_Toc31789"/>
      <w:bookmarkStart w:id="155" w:name="_Toc19709"/>
      <w:bookmarkStart w:id="156" w:name="_Toc25750594"/>
      <w:bookmarkStart w:id="157" w:name="_Toc7103"/>
      <w:bookmarkStart w:id="158" w:name="_Toc492478721"/>
      <w:bookmarkStart w:id="159" w:name="_Toc616"/>
      <w:bookmarkStart w:id="160" w:name="_Toc1737"/>
      <w:bookmarkStart w:id="161" w:name="_Toc3292"/>
      <w:bookmarkStart w:id="162" w:name="_Toc30752"/>
      <w:bookmarkStart w:id="163" w:name="_Toc4438"/>
      <w:r>
        <w:rPr>
          <w:rFonts w:hint="eastAsia" w:ascii="宋体" w:hAnsi="宋体"/>
          <w:sz w:val="21"/>
          <w:szCs w:val="21"/>
        </w:rPr>
        <w:t xml:space="preserve">4. </w:t>
      </w:r>
      <w:r>
        <w:rPr>
          <w:rFonts w:ascii="宋体" w:hAnsi="宋体"/>
          <w:sz w:val="21"/>
          <w:szCs w:val="21"/>
        </w:rPr>
        <w:t>比选申请费用</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5"/>
        <w:spacing w:after="0" w:afterAutospacing="0" w:line="360" w:lineRule="auto"/>
        <w:ind w:left="0" w:right="0" w:firstLine="482" w:firstLineChars="200"/>
        <w:rPr>
          <w:rFonts w:ascii="宋体" w:hAnsi="宋体" w:eastAsia="宋体"/>
          <w:sz w:val="24"/>
          <w:szCs w:val="24"/>
        </w:rPr>
      </w:pPr>
      <w:bookmarkStart w:id="164" w:name="_Toc18528"/>
      <w:bookmarkStart w:id="165" w:name="_Toc12983509"/>
      <w:bookmarkStart w:id="166" w:name="_Toc2986"/>
      <w:bookmarkStart w:id="167" w:name="_Toc8562"/>
      <w:bookmarkStart w:id="168" w:name="_Toc4139"/>
      <w:bookmarkStart w:id="169" w:name="_Toc19617"/>
      <w:bookmarkStart w:id="170" w:name="_Toc16131"/>
      <w:bookmarkStart w:id="171" w:name="_Toc9677"/>
      <w:bookmarkStart w:id="172" w:name="_Toc31229"/>
      <w:bookmarkStart w:id="173" w:name="_Toc22253"/>
      <w:bookmarkStart w:id="174" w:name="_Toc12831"/>
      <w:bookmarkStart w:id="175" w:name="_Toc15763"/>
      <w:bookmarkStart w:id="176" w:name="_Toc383891172"/>
      <w:bookmarkStart w:id="177" w:name="_Toc28220"/>
      <w:bookmarkStart w:id="178" w:name="_Toc26374"/>
      <w:bookmarkStart w:id="179" w:name="_Toc5487"/>
      <w:bookmarkStart w:id="180" w:name="_Toc385427797"/>
      <w:bookmarkStart w:id="181" w:name="_Toc16530"/>
      <w:bookmarkStart w:id="182" w:name="_Toc7339"/>
      <w:bookmarkStart w:id="183" w:name="_Toc25750595"/>
      <w:bookmarkStart w:id="184" w:name="_Toc6528"/>
      <w:bookmarkStart w:id="185" w:name="_Toc390098423"/>
      <w:bookmarkStart w:id="186" w:name="_Toc29160"/>
      <w:bookmarkStart w:id="187" w:name="_Toc2609"/>
      <w:bookmarkStart w:id="188" w:name="_Toc5160"/>
      <w:bookmarkStart w:id="189" w:name="_Toc3854"/>
      <w:bookmarkStart w:id="190" w:name="_Toc30638"/>
      <w:bookmarkStart w:id="191" w:name="_Toc492478722"/>
      <w:bookmarkStart w:id="192" w:name="_Toc375039068"/>
      <w:bookmarkStart w:id="193" w:name="_Toc16608"/>
      <w:r>
        <w:rPr>
          <w:rFonts w:hint="eastAsia" w:ascii="宋体" w:hAnsi="宋体" w:eastAsia="宋体"/>
          <w:sz w:val="24"/>
          <w:szCs w:val="24"/>
        </w:rPr>
        <w:t>二、</w:t>
      </w:r>
      <w:r>
        <w:rPr>
          <w:rFonts w:ascii="宋体" w:hAnsi="宋体" w:eastAsia="宋体"/>
          <w:sz w:val="24"/>
          <w:szCs w:val="24"/>
        </w:rPr>
        <w:t>比选文件</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6"/>
        <w:spacing w:before="0" w:after="0" w:afterAutospacing="0"/>
        <w:ind w:left="0" w:right="0" w:firstLine="422" w:firstLineChars="200"/>
        <w:rPr>
          <w:rFonts w:ascii="宋体" w:hAnsi="宋体"/>
          <w:sz w:val="21"/>
          <w:szCs w:val="21"/>
        </w:rPr>
      </w:pPr>
      <w:bookmarkStart w:id="194" w:name="_Toc12983510"/>
      <w:bookmarkStart w:id="195" w:name="_Toc27870"/>
      <w:bookmarkStart w:id="196" w:name="_Toc18436"/>
      <w:bookmarkStart w:id="197" w:name="_Toc25750596"/>
      <w:bookmarkStart w:id="198" w:name="_Toc26333"/>
      <w:bookmarkStart w:id="199" w:name="_Toc4157"/>
      <w:bookmarkStart w:id="200" w:name="_Toc385427798"/>
      <w:bookmarkStart w:id="201" w:name="_Toc29472"/>
      <w:bookmarkStart w:id="202" w:name="_Toc29225"/>
      <w:bookmarkStart w:id="203" w:name="_Toc21811"/>
      <w:bookmarkStart w:id="204" w:name="_Toc839"/>
      <w:bookmarkStart w:id="205" w:name="_Toc9756"/>
      <w:bookmarkStart w:id="206" w:name="_Toc19561"/>
      <w:bookmarkStart w:id="207" w:name="_Toc5877"/>
      <w:bookmarkStart w:id="208" w:name="_Toc6764"/>
      <w:bookmarkStart w:id="209" w:name="_Toc30401"/>
      <w:bookmarkStart w:id="210" w:name="_Toc390098424"/>
      <w:bookmarkStart w:id="211" w:name="_Toc383891173"/>
      <w:bookmarkStart w:id="212" w:name="_Toc6637"/>
      <w:bookmarkStart w:id="213" w:name="_Toc13114"/>
      <w:bookmarkStart w:id="214" w:name="_Toc25378"/>
      <w:bookmarkStart w:id="215" w:name="_Toc32710"/>
      <w:bookmarkStart w:id="216" w:name="_Toc492478723"/>
      <w:bookmarkStart w:id="217" w:name="_Toc375039069"/>
      <w:r>
        <w:rPr>
          <w:rFonts w:hint="eastAsia" w:ascii="宋体" w:hAnsi="宋体"/>
          <w:sz w:val="21"/>
          <w:szCs w:val="21"/>
        </w:rPr>
        <w:t>5.</w:t>
      </w:r>
      <w:r>
        <w:rPr>
          <w:rFonts w:ascii="宋体" w:hAnsi="宋体"/>
          <w:sz w:val="21"/>
          <w:szCs w:val="21"/>
        </w:rPr>
        <w:t>比选文件构成</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3"/>
        </w:numPr>
        <w:spacing w:before="0"/>
        <w:ind w:right="0" w:firstLine="200"/>
        <w:rPr>
          <w:rFonts w:ascii="宋体" w:hAnsi="宋体"/>
        </w:rPr>
      </w:pPr>
      <w:r>
        <w:rPr>
          <w:rFonts w:ascii="宋体" w:hAnsi="宋体"/>
        </w:rPr>
        <w:t>比选公告</w:t>
      </w:r>
    </w:p>
    <w:p>
      <w:pPr>
        <w:numPr>
          <w:ilvl w:val="0"/>
          <w:numId w:val="3"/>
        </w:numPr>
        <w:spacing w:before="0"/>
        <w:ind w:right="0" w:firstLine="200"/>
        <w:rPr>
          <w:rFonts w:ascii="宋体" w:hAnsi="宋体"/>
        </w:rPr>
      </w:pPr>
      <w:r>
        <w:rPr>
          <w:rFonts w:ascii="宋体" w:hAnsi="宋体"/>
        </w:rPr>
        <w:t>比选申请人须知</w:t>
      </w:r>
    </w:p>
    <w:p>
      <w:pPr>
        <w:numPr>
          <w:ilvl w:val="0"/>
          <w:numId w:val="3"/>
        </w:numPr>
        <w:spacing w:before="0"/>
        <w:ind w:right="0" w:firstLine="200"/>
        <w:rPr>
          <w:rFonts w:ascii="宋体" w:hAnsi="宋体"/>
        </w:rPr>
      </w:pPr>
      <w:r>
        <w:rPr>
          <w:rFonts w:ascii="宋体" w:hAnsi="宋体"/>
        </w:rPr>
        <w:t>合同条款</w:t>
      </w:r>
      <w:r>
        <w:rPr>
          <w:rFonts w:hint="eastAsia" w:ascii="宋体" w:hAnsi="宋体"/>
        </w:rPr>
        <w:t>及格式</w:t>
      </w:r>
    </w:p>
    <w:p>
      <w:pPr>
        <w:numPr>
          <w:ilvl w:val="0"/>
          <w:numId w:val="3"/>
        </w:numPr>
        <w:spacing w:before="0"/>
        <w:ind w:right="0" w:firstLine="200"/>
        <w:rPr>
          <w:rFonts w:ascii="宋体" w:hAnsi="宋体"/>
        </w:rPr>
      </w:pPr>
      <w:r>
        <w:rPr>
          <w:rFonts w:ascii="宋体" w:hAnsi="宋体"/>
        </w:rPr>
        <w:t>比选申请文件格式</w:t>
      </w:r>
    </w:p>
    <w:p>
      <w:pPr>
        <w:numPr>
          <w:ilvl w:val="0"/>
          <w:numId w:val="3"/>
        </w:numPr>
        <w:spacing w:before="0"/>
        <w:ind w:right="0" w:firstLine="200"/>
        <w:rPr>
          <w:rFonts w:ascii="宋体" w:hAnsi="宋体"/>
        </w:rPr>
      </w:pPr>
      <w:r>
        <w:rPr>
          <w:rFonts w:ascii="宋体" w:hAnsi="宋体"/>
        </w:rPr>
        <w:t>用户需求书</w:t>
      </w:r>
    </w:p>
    <w:p>
      <w:pPr>
        <w:numPr>
          <w:ilvl w:val="0"/>
          <w:numId w:val="3"/>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sz w:val="21"/>
          <w:szCs w:val="21"/>
        </w:rPr>
      </w:pPr>
      <w:bookmarkStart w:id="218" w:name="_Toc26811"/>
      <w:bookmarkStart w:id="219" w:name="_Toc492478724"/>
      <w:bookmarkStart w:id="220" w:name="_Toc383891174"/>
      <w:bookmarkStart w:id="221" w:name="_Toc390098425"/>
      <w:bookmarkStart w:id="222" w:name="_Toc2489"/>
      <w:bookmarkStart w:id="223" w:name="_Toc17279"/>
      <w:bookmarkStart w:id="224" w:name="_Toc31848"/>
      <w:bookmarkStart w:id="225" w:name="_Toc21365"/>
      <w:bookmarkStart w:id="226" w:name="_Toc375039070"/>
      <w:bookmarkStart w:id="227" w:name="_Toc28270"/>
      <w:bookmarkStart w:id="228" w:name="_Toc12983511"/>
      <w:bookmarkStart w:id="229" w:name="_Toc15154"/>
      <w:bookmarkStart w:id="230" w:name="_Toc11896"/>
      <w:bookmarkStart w:id="231" w:name="_Toc2664"/>
      <w:bookmarkStart w:id="232" w:name="_Toc10162"/>
      <w:bookmarkStart w:id="233" w:name="_Toc31386"/>
      <w:bookmarkStart w:id="234" w:name="_Toc26909"/>
      <w:bookmarkStart w:id="235" w:name="_Toc14426"/>
      <w:bookmarkStart w:id="236" w:name="_Toc2789"/>
      <w:bookmarkStart w:id="237" w:name="_Toc18631"/>
      <w:bookmarkStart w:id="238" w:name="_Toc29001"/>
      <w:bookmarkStart w:id="239" w:name="_Toc25750597"/>
      <w:bookmarkStart w:id="240" w:name="_Toc20903"/>
      <w:bookmarkStart w:id="241" w:name="_Toc385427799"/>
      <w:r>
        <w:rPr>
          <w:rFonts w:hint="eastAsia" w:ascii="宋体" w:hAnsi="宋体"/>
          <w:sz w:val="21"/>
          <w:szCs w:val="21"/>
        </w:rPr>
        <w:t>6.</w:t>
      </w:r>
      <w:r>
        <w:rPr>
          <w:rFonts w:ascii="宋体" w:hAnsi="宋体"/>
          <w:sz w:val="21"/>
          <w:szCs w:val="21"/>
        </w:rPr>
        <w:t>比选文件的澄清</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sz w:val="21"/>
          <w:szCs w:val="21"/>
        </w:rPr>
      </w:pPr>
      <w:bookmarkStart w:id="242" w:name="_Toc385427800"/>
      <w:bookmarkStart w:id="243" w:name="_Toc24191"/>
      <w:bookmarkStart w:id="244" w:name="_Toc15498"/>
      <w:bookmarkStart w:id="245" w:name="_Toc383891175"/>
      <w:bookmarkStart w:id="246" w:name="_Toc2976"/>
      <w:bookmarkStart w:id="247" w:name="_Toc25750598"/>
      <w:bookmarkStart w:id="248" w:name="_Toc7063"/>
      <w:bookmarkStart w:id="249" w:name="_Toc22529"/>
      <w:bookmarkStart w:id="250" w:name="_Toc5364"/>
      <w:bookmarkStart w:id="251" w:name="_Toc19345"/>
      <w:bookmarkStart w:id="252" w:name="_Toc375039071"/>
      <w:bookmarkStart w:id="253" w:name="_Toc26952"/>
      <w:bookmarkStart w:id="254" w:name="_Toc390098426"/>
      <w:bookmarkStart w:id="255" w:name="_Toc492478725"/>
      <w:bookmarkStart w:id="256" w:name="_Toc12983512"/>
      <w:bookmarkStart w:id="257" w:name="_Toc15137"/>
      <w:bookmarkStart w:id="258" w:name="_Toc29795"/>
      <w:bookmarkStart w:id="259" w:name="_Toc14181"/>
      <w:bookmarkStart w:id="260" w:name="_Toc30378"/>
      <w:bookmarkStart w:id="261" w:name="_Toc15674"/>
      <w:bookmarkStart w:id="262" w:name="_Toc2072"/>
      <w:bookmarkStart w:id="263" w:name="_Toc24583"/>
      <w:bookmarkStart w:id="264" w:name="_Toc27124"/>
      <w:bookmarkStart w:id="265" w:name="_Toc24128"/>
      <w:r>
        <w:rPr>
          <w:rFonts w:hint="eastAsia" w:ascii="宋体" w:hAnsi="宋体"/>
          <w:sz w:val="21"/>
          <w:szCs w:val="21"/>
        </w:rPr>
        <w:t>7.</w:t>
      </w:r>
      <w:r>
        <w:rPr>
          <w:rFonts w:ascii="宋体" w:hAnsi="宋体"/>
          <w:sz w:val="21"/>
          <w:szCs w:val="21"/>
        </w:rPr>
        <w:t>比选文件的补遗或修改</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7.2 比选文件的补遗或修改通知是比选文件的组成部分，补充比选文件在南宁轨道交通运营有限公司官网上发布之日起，视为比选申请人已收到该补充比选文件。比选申请人未及时关注南宁轨道交通运营有限公司官网上发布的补充比选文件造成的损失，由比选申请人自行负责</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5"/>
        <w:spacing w:after="0" w:afterAutospacing="0" w:line="360" w:lineRule="auto"/>
        <w:ind w:left="0" w:right="0" w:firstLine="482" w:firstLineChars="200"/>
        <w:rPr>
          <w:rFonts w:ascii="宋体" w:hAnsi="宋体" w:eastAsia="宋体"/>
          <w:sz w:val="24"/>
          <w:szCs w:val="24"/>
        </w:rPr>
      </w:pPr>
      <w:bookmarkStart w:id="266" w:name="_Toc95"/>
      <w:bookmarkStart w:id="267" w:name="_Toc16406"/>
      <w:bookmarkStart w:id="268" w:name="_Toc12983513"/>
      <w:bookmarkStart w:id="269" w:name="_Toc10869"/>
      <w:bookmarkStart w:id="270" w:name="_Toc24557"/>
      <w:bookmarkStart w:id="271" w:name="_Toc7604"/>
      <w:bookmarkStart w:id="272" w:name="_Toc30363"/>
      <w:bookmarkStart w:id="273" w:name="_Toc18679"/>
      <w:bookmarkStart w:id="274" w:name="_Toc492478726"/>
      <w:bookmarkStart w:id="275" w:name="_Toc25750599"/>
      <w:bookmarkStart w:id="276" w:name="_Toc7544"/>
      <w:bookmarkStart w:id="277" w:name="_Toc3855"/>
      <w:bookmarkStart w:id="278" w:name="_Toc5805"/>
      <w:bookmarkStart w:id="279" w:name="_Toc14670"/>
      <w:bookmarkStart w:id="280" w:name="_Toc21340"/>
      <w:bookmarkStart w:id="281" w:name="_Toc17692"/>
      <w:bookmarkStart w:id="282" w:name="_Toc383891176"/>
      <w:bookmarkStart w:id="283" w:name="_Toc14185"/>
      <w:bookmarkStart w:id="284" w:name="_Toc27913"/>
      <w:bookmarkStart w:id="285" w:name="_Toc385427801"/>
      <w:bookmarkStart w:id="286" w:name="_Toc2902"/>
      <w:bookmarkStart w:id="287" w:name="_Toc375039072"/>
      <w:bookmarkStart w:id="288" w:name="_Toc25361"/>
      <w:bookmarkStart w:id="289" w:name="_Toc24759"/>
      <w:bookmarkStart w:id="290" w:name="_Toc390098427"/>
      <w:bookmarkStart w:id="291" w:name="_Toc28044"/>
      <w:bookmarkStart w:id="292" w:name="_Toc13599"/>
      <w:bookmarkStart w:id="293" w:name="_Toc4718"/>
      <w:bookmarkStart w:id="294" w:name="_Toc17335"/>
      <w:bookmarkStart w:id="295" w:name="_Toc3794"/>
      <w:r>
        <w:rPr>
          <w:rFonts w:hint="eastAsia" w:ascii="宋体" w:hAnsi="宋体" w:eastAsia="宋体"/>
          <w:sz w:val="24"/>
          <w:szCs w:val="24"/>
        </w:rPr>
        <w:t>三、</w:t>
      </w:r>
      <w:r>
        <w:rPr>
          <w:rFonts w:ascii="宋体" w:hAnsi="宋体" w:eastAsia="宋体"/>
          <w:sz w:val="24"/>
          <w:szCs w:val="24"/>
        </w:rPr>
        <w:t>比选申请文件的编制</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6"/>
        <w:spacing w:before="0" w:after="0" w:afterAutospacing="0"/>
        <w:ind w:left="0" w:right="0" w:firstLine="422" w:firstLineChars="200"/>
        <w:rPr>
          <w:rFonts w:ascii="宋体" w:hAnsi="宋体"/>
          <w:sz w:val="21"/>
          <w:szCs w:val="21"/>
        </w:rPr>
      </w:pPr>
      <w:bookmarkStart w:id="296" w:name="_Toc29862"/>
      <w:bookmarkStart w:id="297" w:name="_Toc13418"/>
      <w:bookmarkStart w:id="298" w:name="_Toc25750600"/>
      <w:bookmarkStart w:id="299" w:name="_Toc20025"/>
      <w:bookmarkStart w:id="300" w:name="_Toc21673"/>
      <w:bookmarkStart w:id="301" w:name="_Toc12456"/>
      <w:bookmarkStart w:id="302" w:name="_Toc12983514"/>
      <w:bookmarkStart w:id="303" w:name="_Toc390098428"/>
      <w:bookmarkStart w:id="304" w:name="_Toc2819"/>
      <w:bookmarkStart w:id="305" w:name="_Toc383891177"/>
      <w:bookmarkStart w:id="306" w:name="_Toc26680"/>
      <w:bookmarkStart w:id="307" w:name="_Toc23794"/>
      <w:bookmarkStart w:id="308" w:name="_Toc385427802"/>
      <w:bookmarkStart w:id="309" w:name="_Toc26150"/>
      <w:bookmarkStart w:id="310" w:name="_Toc12074"/>
      <w:bookmarkStart w:id="311" w:name="_Toc4384"/>
      <w:bookmarkStart w:id="312" w:name="_Toc11259"/>
      <w:bookmarkStart w:id="313" w:name="_Toc9592"/>
      <w:bookmarkStart w:id="314" w:name="_Toc492478727"/>
      <w:bookmarkStart w:id="315" w:name="_Toc16186"/>
      <w:bookmarkStart w:id="316" w:name="_Toc16435"/>
      <w:bookmarkStart w:id="317" w:name="_Toc18350"/>
      <w:bookmarkStart w:id="318" w:name="_Toc1733"/>
      <w:bookmarkStart w:id="319" w:name="_Toc375039073"/>
      <w:r>
        <w:rPr>
          <w:rFonts w:hint="eastAsia" w:ascii="宋体" w:hAnsi="宋体"/>
          <w:sz w:val="21"/>
          <w:szCs w:val="21"/>
        </w:rPr>
        <w:t>8.</w:t>
      </w:r>
      <w:r>
        <w:rPr>
          <w:rFonts w:ascii="宋体" w:hAnsi="宋体"/>
          <w:sz w:val="21"/>
          <w:szCs w:val="21"/>
        </w:rPr>
        <w:t>编制要求</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6"/>
        <w:spacing w:before="0" w:after="0" w:afterAutospacing="0"/>
        <w:ind w:left="0" w:right="0" w:firstLine="422" w:firstLineChars="200"/>
        <w:rPr>
          <w:rFonts w:ascii="宋体" w:hAnsi="宋体"/>
          <w:sz w:val="21"/>
          <w:szCs w:val="21"/>
        </w:rPr>
      </w:pPr>
      <w:bookmarkStart w:id="320" w:name="_Toc28296"/>
      <w:bookmarkStart w:id="321" w:name="_Toc3492"/>
      <w:bookmarkStart w:id="322" w:name="_Toc24935"/>
      <w:bookmarkStart w:id="323" w:name="_Toc385427803"/>
      <w:bookmarkStart w:id="324" w:name="_Toc25750601"/>
      <w:bookmarkStart w:id="325" w:name="_Toc375039074"/>
      <w:bookmarkStart w:id="326" w:name="_Toc15570"/>
      <w:bookmarkStart w:id="327" w:name="_Toc1047"/>
      <w:bookmarkStart w:id="328" w:name="_Toc11040"/>
      <w:bookmarkStart w:id="329" w:name="_Toc24857"/>
      <w:bookmarkStart w:id="330" w:name="_Toc25770"/>
      <w:bookmarkStart w:id="331" w:name="_Toc383891178"/>
      <w:bookmarkStart w:id="332" w:name="_Toc22026"/>
      <w:bookmarkStart w:id="333" w:name="_Toc6261"/>
      <w:bookmarkStart w:id="334" w:name="_Toc390098429"/>
      <w:bookmarkStart w:id="335" w:name="_Toc16237"/>
      <w:bookmarkStart w:id="336" w:name="_Toc26753"/>
      <w:bookmarkStart w:id="337" w:name="_Toc12983515"/>
      <w:bookmarkStart w:id="338" w:name="_Toc11161"/>
      <w:bookmarkStart w:id="339" w:name="_Toc9887"/>
      <w:bookmarkStart w:id="340" w:name="_Toc19885"/>
      <w:bookmarkStart w:id="341" w:name="_Toc12207"/>
      <w:bookmarkStart w:id="342" w:name="_Toc28065"/>
      <w:bookmarkStart w:id="343" w:name="_Toc492478728"/>
      <w:r>
        <w:rPr>
          <w:rFonts w:hint="eastAsia" w:ascii="宋体" w:hAnsi="宋体"/>
          <w:sz w:val="21"/>
          <w:szCs w:val="21"/>
        </w:rPr>
        <w:t>9.比选申请语言及计量单位</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w:t>
      </w:r>
      <w:r>
        <w:rPr>
          <w:rFonts w:hint="eastAsia" w:ascii="宋体" w:hAnsi="宋体"/>
        </w:rPr>
        <w:t>比选人</w:t>
      </w:r>
      <w:r>
        <w:rPr>
          <w:rFonts w:ascii="宋体" w:hAnsi="宋体"/>
        </w:rPr>
        <w:t>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6"/>
        <w:spacing w:before="0" w:after="0" w:afterAutospacing="0"/>
        <w:ind w:left="0" w:right="0" w:firstLine="422" w:firstLineChars="200"/>
        <w:rPr>
          <w:rFonts w:ascii="宋体" w:hAnsi="宋体"/>
          <w:sz w:val="21"/>
          <w:szCs w:val="21"/>
        </w:rPr>
      </w:pPr>
      <w:bookmarkStart w:id="344" w:name="_Toc375039075"/>
      <w:bookmarkStart w:id="345" w:name="_Toc53"/>
      <w:bookmarkStart w:id="346" w:name="_Toc383891179"/>
      <w:bookmarkStart w:id="347" w:name="_Toc385427804"/>
      <w:bookmarkStart w:id="348" w:name="_Toc29881"/>
      <w:bookmarkStart w:id="349" w:name="_Toc12983516"/>
      <w:bookmarkStart w:id="350" w:name="_Toc24760"/>
      <w:bookmarkStart w:id="351" w:name="_Toc14323"/>
      <w:bookmarkStart w:id="352" w:name="_Toc390098430"/>
      <w:bookmarkStart w:id="353" w:name="_Toc30356"/>
      <w:bookmarkStart w:id="354" w:name="_Toc28164"/>
      <w:bookmarkStart w:id="355" w:name="_Toc3411"/>
      <w:bookmarkStart w:id="356" w:name="_Toc3877"/>
      <w:bookmarkStart w:id="357" w:name="_Toc25750602"/>
      <w:bookmarkStart w:id="358" w:name="_Toc16307"/>
      <w:bookmarkStart w:id="359" w:name="_Toc492478729"/>
      <w:bookmarkStart w:id="360" w:name="_Toc23364"/>
      <w:bookmarkStart w:id="361" w:name="_Toc23229"/>
      <w:bookmarkStart w:id="362" w:name="_Toc3464"/>
      <w:bookmarkStart w:id="363" w:name="_Toc15809"/>
      <w:bookmarkStart w:id="364" w:name="_Toc22476"/>
      <w:bookmarkStart w:id="365" w:name="_Toc30991"/>
      <w:bookmarkStart w:id="366" w:name="_Toc18149"/>
      <w:bookmarkStart w:id="367" w:name="_Toc19681"/>
      <w:r>
        <w:rPr>
          <w:rFonts w:hint="eastAsia" w:ascii="宋体" w:hAnsi="宋体"/>
          <w:sz w:val="21"/>
          <w:szCs w:val="21"/>
        </w:rPr>
        <w:t>10.比选申请文件组成</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sz w:val="21"/>
          <w:szCs w:val="21"/>
        </w:rPr>
      </w:pPr>
      <w:bookmarkStart w:id="368" w:name="_Toc383891180"/>
      <w:bookmarkStart w:id="369" w:name="_Toc16783"/>
      <w:bookmarkStart w:id="370" w:name="_Toc25750603"/>
      <w:bookmarkStart w:id="371" w:name="_Toc492478730"/>
      <w:bookmarkStart w:id="372" w:name="_Toc2395"/>
      <w:bookmarkStart w:id="373" w:name="_Toc14308"/>
      <w:bookmarkStart w:id="374" w:name="_Toc385427805"/>
      <w:bookmarkStart w:id="375" w:name="_Toc20248"/>
      <w:bookmarkStart w:id="376" w:name="_Toc390098431"/>
      <w:bookmarkStart w:id="377" w:name="_Toc23002"/>
      <w:bookmarkStart w:id="378" w:name="_Toc8151"/>
      <w:bookmarkStart w:id="379" w:name="_Toc21144"/>
      <w:bookmarkStart w:id="380" w:name="_Toc11211"/>
      <w:bookmarkStart w:id="381" w:name="_Toc3670"/>
      <w:bookmarkStart w:id="382" w:name="_Toc15919"/>
      <w:bookmarkStart w:id="383" w:name="_Toc12983517"/>
      <w:bookmarkStart w:id="384" w:name="_Toc7608"/>
      <w:bookmarkStart w:id="385" w:name="_Toc27194"/>
      <w:bookmarkStart w:id="386" w:name="_Toc375039076"/>
      <w:bookmarkStart w:id="387" w:name="_Toc14630"/>
      <w:bookmarkStart w:id="388" w:name="_Toc20490"/>
      <w:bookmarkStart w:id="389" w:name="_Toc27019"/>
      <w:bookmarkStart w:id="390" w:name="_Toc675"/>
      <w:bookmarkStart w:id="391" w:name="_Toc15448"/>
      <w:r>
        <w:rPr>
          <w:rFonts w:hint="eastAsia" w:ascii="宋体" w:hAnsi="宋体"/>
          <w:sz w:val="21"/>
          <w:szCs w:val="21"/>
        </w:rPr>
        <w:t>11.</w:t>
      </w:r>
      <w:r>
        <w:rPr>
          <w:rFonts w:ascii="宋体" w:hAnsi="宋体"/>
          <w:sz w:val="21"/>
          <w:szCs w:val="21"/>
        </w:rPr>
        <w:t>比选申请文件格式</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6"/>
        <w:spacing w:before="0" w:after="0" w:afterAutospacing="0"/>
        <w:ind w:left="0" w:right="0" w:firstLine="422" w:firstLineChars="200"/>
        <w:rPr>
          <w:rFonts w:ascii="宋体" w:hAnsi="宋体"/>
          <w:sz w:val="21"/>
          <w:szCs w:val="21"/>
        </w:rPr>
      </w:pPr>
      <w:bookmarkStart w:id="392" w:name="_Toc25750604"/>
      <w:bookmarkStart w:id="393" w:name="_Toc9416"/>
      <w:bookmarkStart w:id="394" w:name="_Toc492478731"/>
      <w:bookmarkStart w:id="395" w:name="_Toc6671"/>
      <w:bookmarkStart w:id="396" w:name="_Toc17338"/>
      <w:bookmarkStart w:id="397" w:name="_Toc16653"/>
      <w:bookmarkStart w:id="398" w:name="_Toc31743"/>
      <w:bookmarkStart w:id="399" w:name="_Toc24264"/>
      <w:bookmarkStart w:id="400" w:name="_Toc17379"/>
      <w:bookmarkStart w:id="401" w:name="_Toc22295"/>
      <w:bookmarkStart w:id="402" w:name="_Toc390098432"/>
      <w:bookmarkStart w:id="403" w:name="_Toc383891181"/>
      <w:bookmarkStart w:id="404" w:name="_Toc3813"/>
      <w:bookmarkStart w:id="405" w:name="_Toc14123"/>
      <w:bookmarkStart w:id="406" w:name="_Toc26482"/>
      <w:bookmarkStart w:id="407" w:name="_Toc375039077"/>
      <w:bookmarkStart w:id="408" w:name="_Toc17526"/>
      <w:bookmarkStart w:id="409" w:name="_Toc3799"/>
      <w:bookmarkStart w:id="410" w:name="_Toc26974"/>
      <w:bookmarkStart w:id="411" w:name="_Toc21084"/>
      <w:bookmarkStart w:id="412" w:name="_Toc7857"/>
      <w:bookmarkStart w:id="413" w:name="_Toc12983518"/>
      <w:bookmarkStart w:id="414" w:name="_Toc20685"/>
      <w:bookmarkStart w:id="415" w:name="_Toc385427806"/>
      <w:r>
        <w:rPr>
          <w:rFonts w:hint="eastAsia" w:ascii="宋体" w:hAnsi="宋体"/>
          <w:sz w:val="21"/>
          <w:szCs w:val="21"/>
        </w:rPr>
        <w:t>12.</w:t>
      </w:r>
      <w:r>
        <w:rPr>
          <w:rFonts w:ascii="宋体" w:hAnsi="宋体"/>
          <w:sz w:val="21"/>
          <w:szCs w:val="21"/>
        </w:rPr>
        <w:t>比选申请报价</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w:t>
      </w:r>
      <w:r>
        <w:rPr>
          <w:rFonts w:hint="eastAsia" w:ascii="宋体" w:hAnsi="宋体"/>
          <w:b/>
        </w:rPr>
        <w:t>在签订本项目合同时，遵循国家现行税法的相关规定在</w:t>
      </w:r>
      <w:r>
        <w:rPr>
          <w:rFonts w:hint="eastAsia" w:ascii="宋体" w:hAnsi="宋体"/>
          <w:b/>
          <w:lang w:eastAsia="zh-CN"/>
        </w:rPr>
        <w:t>中选</w:t>
      </w:r>
      <w:r>
        <w:rPr>
          <w:rFonts w:hint="eastAsia" w:ascii="宋体" w:hAnsi="宋体"/>
          <w:b/>
        </w:rPr>
        <w:t>人不含税单价和合价的基础上逐项增加税费，并明确相应增值税税率和增值税额。含税价格计算保留小数点后两位，含税合价为含税单价与数量的乘积，</w:t>
      </w:r>
      <w:r>
        <w:rPr>
          <w:rFonts w:hint="eastAsia" w:ascii="宋体" w:hAnsi="宋体"/>
          <w:b/>
          <w:lang w:val="en-US" w:eastAsia="zh-CN"/>
        </w:rPr>
        <w:t>合同</w:t>
      </w:r>
      <w:r>
        <w:rPr>
          <w:rFonts w:hint="eastAsia" w:ascii="宋体" w:hAnsi="宋体"/>
          <w:b/>
        </w:rPr>
        <w:t>总价为分项合价之和。本合同最终税金在结算阶段，按实际产生的税金进行核算，但合同不含税价格不因国家税率调整而调整</w:t>
      </w:r>
      <w:r>
        <w:rPr>
          <w:rFonts w:hint="eastAsia" w:ascii="宋体" w:hAnsi="宋体"/>
        </w:rPr>
        <w:t>。比选申请人须按第五章《用户需求书》中的技术需求及工程量清单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比选申请报价应包括完成所有项目内容及质量保证期服务等履行合同标的全过程产生的所有成本、利润及其他费用等全部费用以及比选申请人应承担的费用。</w:t>
      </w:r>
    </w:p>
    <w:p>
      <w:pPr>
        <w:tabs>
          <w:tab w:val="left" w:pos="8364"/>
        </w:tabs>
        <w:spacing w:before="0" w:after="0" w:afterAutospacing="0"/>
        <w:ind w:left="0" w:right="0" w:firstLine="420" w:firstLineChars="200"/>
      </w:pPr>
      <w:r>
        <w:rPr>
          <w:rFonts w:hint="eastAsia" w:ascii="宋体" w:hAnsi="宋体"/>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ascii="宋体" w:hAnsi="宋体"/>
        </w:rPr>
        <w:t>12.</w:t>
      </w:r>
      <w:r>
        <w:rPr>
          <w:rFonts w:hint="eastAsia" w:ascii="宋体" w:hAnsi="宋体"/>
        </w:rPr>
        <w:t>4项目不接受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任何形式的服务。</w:t>
      </w:r>
    </w:p>
    <w:p>
      <w:pPr>
        <w:spacing w:before="0" w:after="0" w:afterAutospacing="0"/>
        <w:ind w:left="0" w:right="0" w:firstLine="420" w:firstLineChars="200"/>
        <w:rPr>
          <w:rFonts w:ascii="宋体" w:hAnsi="宋体" w:cs="宋体"/>
        </w:rPr>
      </w:pPr>
      <w:r>
        <w:rPr>
          <w:rFonts w:ascii="宋体" w:hAnsi="宋体"/>
        </w:rPr>
        <w:t>12.</w:t>
      </w:r>
      <w:r>
        <w:rPr>
          <w:rFonts w:hint="eastAsia" w:ascii="宋体" w:hAnsi="宋体"/>
        </w:rPr>
        <w:t>5</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12.</w:t>
      </w:r>
      <w:r>
        <w:rPr>
          <w:rFonts w:hint="eastAsia" w:ascii="宋体" w:hAnsi="宋体"/>
        </w:rPr>
        <w:t>6</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12.7 比选申请人不得在价格文件之外的比选申请文件中出现任何有关本项目的报价信息。</w:t>
      </w:r>
    </w:p>
    <w:p>
      <w:pPr>
        <w:tabs>
          <w:tab w:val="left" w:pos="8364"/>
        </w:tabs>
        <w:spacing w:before="0" w:after="0" w:afterAutospacing="0"/>
        <w:ind w:left="0" w:right="0" w:firstLine="420" w:firstLineChars="200"/>
        <w:rPr>
          <w:rFonts w:ascii="宋体" w:hAnsi="宋体"/>
        </w:rPr>
      </w:pPr>
      <w:r>
        <w:rPr>
          <w:rFonts w:hint="eastAsia" w:ascii="宋体" w:hAnsi="宋体"/>
        </w:rPr>
        <w:t>12.8 比选人不接受比选申请人对任何未办理正常进口手续的非中华人民共和国境内生产的货物的比选申请报价。</w:t>
      </w:r>
    </w:p>
    <w:p>
      <w:pPr>
        <w:pStyle w:val="6"/>
        <w:spacing w:before="0" w:after="0" w:afterAutospacing="0"/>
        <w:ind w:left="420" w:leftChars="200" w:right="0" w:firstLine="0"/>
        <w:rPr>
          <w:rFonts w:ascii="宋体" w:hAnsi="宋体"/>
          <w:sz w:val="21"/>
          <w:szCs w:val="21"/>
        </w:rPr>
      </w:pPr>
      <w:bookmarkStart w:id="416" w:name="_Toc7428"/>
      <w:bookmarkStart w:id="417" w:name="_Toc12983519"/>
      <w:bookmarkStart w:id="418" w:name="_Toc21430"/>
      <w:bookmarkStart w:id="419" w:name="_Toc5836"/>
      <w:bookmarkStart w:id="420" w:name="_Toc385427807"/>
      <w:bookmarkStart w:id="421" w:name="_Toc1664"/>
      <w:bookmarkStart w:id="422" w:name="_Toc28880"/>
      <w:bookmarkStart w:id="423" w:name="_Toc18875"/>
      <w:bookmarkStart w:id="424" w:name="_Toc20156"/>
      <w:bookmarkStart w:id="425" w:name="_Toc2710"/>
      <w:bookmarkStart w:id="426" w:name="_Toc492478732"/>
      <w:bookmarkStart w:id="427" w:name="_Toc21706"/>
      <w:bookmarkStart w:id="428" w:name="_Toc12947"/>
      <w:bookmarkStart w:id="429" w:name="_Toc390098433"/>
      <w:bookmarkStart w:id="430" w:name="_Toc25750605"/>
      <w:bookmarkStart w:id="431" w:name="_Toc28476"/>
      <w:bookmarkStart w:id="432" w:name="_Toc15940"/>
      <w:bookmarkStart w:id="433" w:name="_Toc25459"/>
      <w:bookmarkStart w:id="434" w:name="_Toc10220"/>
      <w:bookmarkStart w:id="435" w:name="_Toc21448"/>
      <w:bookmarkStart w:id="436" w:name="_Toc375039078"/>
      <w:bookmarkStart w:id="437" w:name="_Toc12762"/>
      <w:bookmarkStart w:id="438" w:name="_Toc26064"/>
      <w:bookmarkStart w:id="439" w:name="_Toc383891182"/>
      <w:r>
        <w:rPr>
          <w:rFonts w:hint="eastAsia" w:ascii="宋体" w:hAnsi="宋体"/>
          <w:sz w:val="21"/>
          <w:szCs w:val="21"/>
        </w:rPr>
        <w:t>13.</w:t>
      </w:r>
      <w:r>
        <w:rPr>
          <w:rFonts w:ascii="宋体" w:hAnsi="宋体"/>
          <w:sz w:val="21"/>
          <w:szCs w:val="21"/>
        </w:rPr>
        <w:t>比选申请货币</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比选申请人提供的服务用人民币报价。在比选申请文件中的报价一律用人民币币种填报，</w:t>
      </w:r>
      <w:r>
        <w:rPr>
          <w:rFonts w:hint="eastAsia" w:ascii="宋体" w:hAnsi="宋体"/>
        </w:rPr>
        <w:t>比选人</w:t>
      </w:r>
      <w:r>
        <w:rPr>
          <w:rFonts w:ascii="宋体" w:hAnsi="宋体"/>
        </w:rPr>
        <w:t>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13.2比选人</w:t>
      </w:r>
      <w:r>
        <w:rPr>
          <w:rFonts w:ascii="宋体" w:hAnsi="宋体"/>
        </w:rPr>
        <w:t>将以人民币与中选的比选申请人签订合同。</w:t>
      </w:r>
    </w:p>
    <w:p>
      <w:pPr>
        <w:pStyle w:val="6"/>
        <w:spacing w:before="0" w:after="0" w:afterAutospacing="0"/>
        <w:ind w:left="420" w:leftChars="200" w:right="0" w:firstLine="0"/>
        <w:rPr>
          <w:rFonts w:ascii="宋体" w:hAnsi="宋体"/>
          <w:sz w:val="21"/>
          <w:szCs w:val="21"/>
        </w:rPr>
      </w:pPr>
      <w:bookmarkStart w:id="440" w:name="_Toc14309"/>
      <w:bookmarkStart w:id="441" w:name="_Toc27508"/>
      <w:bookmarkStart w:id="442" w:name="_Toc492478735"/>
      <w:bookmarkStart w:id="443" w:name="_Toc12983520"/>
      <w:bookmarkStart w:id="444" w:name="_Toc24199"/>
      <w:bookmarkStart w:id="445" w:name="_Toc25750606"/>
      <w:bookmarkStart w:id="446" w:name="_Toc7417"/>
      <w:bookmarkStart w:id="447" w:name="_Toc30040"/>
      <w:bookmarkStart w:id="448" w:name="_Toc1624"/>
      <w:bookmarkStart w:id="449" w:name="_Toc16314"/>
      <w:bookmarkStart w:id="450" w:name="_Toc390098436"/>
      <w:bookmarkStart w:id="451" w:name="_Toc14922"/>
      <w:bookmarkStart w:id="452" w:name="_Toc385427810"/>
      <w:bookmarkStart w:id="453" w:name="_Toc375039081"/>
      <w:bookmarkStart w:id="454" w:name="_Toc5974"/>
      <w:bookmarkStart w:id="455" w:name="_Toc28665"/>
      <w:bookmarkStart w:id="456" w:name="_Toc11690"/>
      <w:bookmarkStart w:id="457" w:name="_Toc22051"/>
      <w:bookmarkStart w:id="458" w:name="_Toc12049"/>
      <w:bookmarkStart w:id="459" w:name="_Toc30848"/>
      <w:bookmarkStart w:id="460" w:name="_Toc9237"/>
      <w:bookmarkStart w:id="461" w:name="_Toc30606"/>
      <w:bookmarkStart w:id="462" w:name="_Toc1530"/>
      <w:bookmarkStart w:id="463" w:name="_Toc383891185"/>
      <w:r>
        <w:rPr>
          <w:rFonts w:hint="eastAsia" w:ascii="宋体" w:hAnsi="宋体"/>
          <w:sz w:val="21"/>
          <w:szCs w:val="21"/>
        </w:rPr>
        <w:t>14.</w:t>
      </w:r>
      <w:r>
        <w:rPr>
          <w:rFonts w:ascii="宋体" w:hAnsi="宋体"/>
          <w:sz w:val="21"/>
          <w:szCs w:val="21"/>
        </w:rPr>
        <w:t>比选保证金</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2"/>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6"/>
        <w:spacing w:before="0" w:after="0" w:afterAutospacing="0"/>
        <w:ind w:left="0" w:right="0" w:firstLine="422" w:firstLineChars="200"/>
        <w:rPr>
          <w:rFonts w:ascii="宋体" w:hAnsi="宋体"/>
          <w:sz w:val="21"/>
          <w:szCs w:val="21"/>
        </w:rPr>
      </w:pPr>
      <w:bookmarkStart w:id="464" w:name="_Toc691"/>
      <w:bookmarkStart w:id="465" w:name="_Toc5690"/>
      <w:bookmarkStart w:id="466" w:name="_Toc385427811"/>
      <w:bookmarkStart w:id="467" w:name="_Toc9117"/>
      <w:bookmarkStart w:id="468" w:name="_Toc390098437"/>
      <w:bookmarkStart w:id="469" w:name="_Toc30499"/>
      <w:bookmarkStart w:id="470" w:name="_Toc10918"/>
      <w:bookmarkStart w:id="471" w:name="_Toc4433"/>
      <w:bookmarkStart w:id="472" w:name="_Toc28997"/>
      <w:bookmarkStart w:id="473" w:name="_Toc2268"/>
      <w:bookmarkStart w:id="474" w:name="_Toc1604"/>
      <w:bookmarkStart w:id="475" w:name="_Toc12983521"/>
      <w:bookmarkStart w:id="476" w:name="_Toc24656"/>
      <w:bookmarkStart w:id="477" w:name="_Toc7808"/>
      <w:bookmarkStart w:id="478" w:name="_Toc383891186"/>
      <w:bookmarkStart w:id="479" w:name="_Toc492478736"/>
      <w:bookmarkStart w:id="480" w:name="_Toc28555"/>
      <w:bookmarkStart w:id="481" w:name="_Toc20493"/>
      <w:bookmarkStart w:id="482" w:name="_Toc375039082"/>
      <w:bookmarkStart w:id="483" w:name="_Toc845"/>
      <w:bookmarkStart w:id="484" w:name="_Toc23114"/>
      <w:bookmarkStart w:id="485" w:name="_Toc20070"/>
      <w:bookmarkStart w:id="486" w:name="_Toc25750607"/>
      <w:bookmarkStart w:id="487" w:name="_Toc20643"/>
      <w:r>
        <w:rPr>
          <w:rFonts w:hint="eastAsia" w:ascii="宋体" w:hAnsi="宋体"/>
          <w:sz w:val="21"/>
          <w:szCs w:val="21"/>
        </w:rPr>
        <w:t>15.</w:t>
      </w:r>
      <w:r>
        <w:rPr>
          <w:rFonts w:ascii="宋体" w:hAnsi="宋体"/>
          <w:sz w:val="21"/>
          <w:szCs w:val="21"/>
        </w:rPr>
        <w:t>比选申请有效期</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pStyle w:val="6"/>
        <w:spacing w:before="0" w:after="0" w:afterAutospacing="0"/>
        <w:ind w:left="0" w:right="0" w:firstLine="422" w:firstLineChars="200"/>
        <w:rPr>
          <w:rFonts w:ascii="宋体" w:hAnsi="宋体"/>
          <w:sz w:val="21"/>
          <w:szCs w:val="21"/>
        </w:rPr>
      </w:pPr>
      <w:bookmarkStart w:id="488" w:name="_Toc32525"/>
      <w:bookmarkStart w:id="489" w:name="_Toc385427812"/>
      <w:bookmarkStart w:id="490" w:name="_Toc12983522"/>
      <w:bookmarkStart w:id="491" w:name="_Toc19603"/>
      <w:bookmarkStart w:id="492" w:name="_Toc12435"/>
      <w:bookmarkStart w:id="493" w:name="_Toc492478737"/>
      <w:bookmarkStart w:id="494" w:name="_Toc383891187"/>
      <w:bookmarkStart w:id="495" w:name="_Toc8100"/>
      <w:bookmarkStart w:id="496" w:name="_Toc390098438"/>
      <w:bookmarkStart w:id="497" w:name="_Toc4216"/>
      <w:bookmarkStart w:id="498" w:name="_Toc19044"/>
      <w:bookmarkStart w:id="499" w:name="_Toc6065"/>
      <w:bookmarkStart w:id="500" w:name="_Toc375039083"/>
      <w:bookmarkStart w:id="501" w:name="_Toc3414"/>
      <w:bookmarkStart w:id="502" w:name="_Toc29108"/>
      <w:bookmarkStart w:id="503" w:name="_Toc25468"/>
      <w:bookmarkStart w:id="504" w:name="_Toc32020"/>
      <w:bookmarkStart w:id="505" w:name="_Toc27730"/>
      <w:bookmarkStart w:id="506" w:name="_Toc301"/>
      <w:bookmarkStart w:id="507" w:name="_Toc24922"/>
      <w:bookmarkStart w:id="508" w:name="_Toc25684"/>
      <w:bookmarkStart w:id="509" w:name="_Toc12506"/>
      <w:bookmarkStart w:id="510" w:name="_Toc14672"/>
      <w:r>
        <w:rPr>
          <w:rFonts w:hint="eastAsia" w:ascii="宋体" w:hAnsi="宋体"/>
          <w:sz w:val="21"/>
          <w:szCs w:val="21"/>
        </w:rPr>
        <w:t>16.比选申请文件的制作和签署</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w:t>
      </w:r>
      <w:r>
        <w:rPr>
          <w:rFonts w:hint="eastAsia" w:ascii="宋体" w:hAnsi="宋体"/>
        </w:rPr>
        <w:t>法定代表人或被授权人</w:t>
      </w:r>
      <w:r>
        <w:rPr>
          <w:rFonts w:ascii="宋体" w:hAnsi="宋体"/>
        </w:rPr>
        <w:t>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w:t>
      </w:r>
      <w:r>
        <w:rPr>
          <w:rFonts w:hint="eastAsia" w:ascii="宋体" w:hAnsi="宋体"/>
          <w:b/>
        </w:rPr>
        <w:t>法定代表人或被授权人在比选文件规定的相关位置</w:t>
      </w:r>
      <w:r>
        <w:rPr>
          <w:rFonts w:ascii="宋体" w:hAnsi="宋体"/>
          <w:b/>
        </w:rPr>
        <w:t>签字并加盖公章。</w:t>
      </w:r>
      <w:r>
        <w:rPr>
          <w:rFonts w:hint="eastAsia" w:ascii="宋体" w:hAnsi="宋体"/>
          <w:b/>
        </w:rPr>
        <w:t>被授权人</w:t>
      </w:r>
      <w:r>
        <w:rPr>
          <w:rFonts w:ascii="宋体" w:hAnsi="宋体"/>
          <w:b/>
        </w:rPr>
        <w:t>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w:t>
      </w:r>
      <w:r>
        <w:rPr>
          <w:rFonts w:hint="eastAsia" w:ascii="宋体" w:hAnsi="宋体"/>
        </w:rPr>
        <w:t>法定代表人或被授权人</w:t>
      </w:r>
      <w:r>
        <w:rPr>
          <w:rFonts w:ascii="宋体" w:hAnsi="宋体"/>
        </w:rPr>
        <w:t>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16.4 比选人</w:t>
      </w:r>
      <w:r>
        <w:rPr>
          <w:rFonts w:ascii="宋体" w:hAnsi="宋体"/>
        </w:rPr>
        <w:t>拒绝接受以</w:t>
      </w:r>
      <w:r>
        <w:rPr>
          <w:rFonts w:hint="eastAsia" w:ascii="宋体" w:hAnsi="宋体"/>
        </w:rPr>
        <w:t>邮寄、</w:t>
      </w:r>
      <w:r>
        <w:rPr>
          <w:rFonts w:ascii="宋体" w:hAnsi="宋体"/>
        </w:rPr>
        <w:t>电报、电话、传真、电子邮件形式的比选申请。</w:t>
      </w:r>
    </w:p>
    <w:p>
      <w:pPr>
        <w:pStyle w:val="5"/>
        <w:spacing w:after="0" w:afterAutospacing="0" w:line="360" w:lineRule="auto"/>
        <w:ind w:left="0" w:right="0" w:firstLine="482" w:firstLineChars="200"/>
        <w:rPr>
          <w:rFonts w:ascii="宋体" w:hAnsi="宋体" w:eastAsia="宋体"/>
          <w:sz w:val="24"/>
          <w:szCs w:val="24"/>
        </w:rPr>
      </w:pPr>
      <w:bookmarkStart w:id="511" w:name="_Toc390098439"/>
      <w:bookmarkStart w:id="512" w:name="_Toc383891188"/>
      <w:bookmarkStart w:id="513" w:name="_Toc385427813"/>
      <w:bookmarkStart w:id="514" w:name="_Toc375039084"/>
      <w:bookmarkStart w:id="515" w:name="_Toc14108"/>
      <w:bookmarkStart w:id="516" w:name="_Toc10234"/>
      <w:bookmarkStart w:id="517" w:name="_Toc1438"/>
      <w:bookmarkStart w:id="518" w:name="_Toc18322"/>
      <w:bookmarkStart w:id="519" w:name="_Toc29011"/>
      <w:bookmarkStart w:id="520" w:name="_Toc30962"/>
      <w:bookmarkStart w:id="521" w:name="_Toc2975"/>
      <w:bookmarkStart w:id="522" w:name="_Toc30452"/>
      <w:bookmarkStart w:id="523" w:name="_Toc30187"/>
      <w:bookmarkStart w:id="524" w:name="_Toc26776"/>
      <w:bookmarkStart w:id="525" w:name="_Toc29803"/>
      <w:bookmarkStart w:id="526" w:name="_Toc492478738"/>
      <w:bookmarkStart w:id="527" w:name="_Toc12983523"/>
      <w:bookmarkStart w:id="528" w:name="_Toc32054"/>
      <w:bookmarkStart w:id="529" w:name="_Toc14321"/>
      <w:bookmarkStart w:id="530" w:name="_Toc759"/>
      <w:bookmarkStart w:id="531" w:name="_Toc1952"/>
      <w:bookmarkStart w:id="532" w:name="_Toc15116"/>
      <w:bookmarkStart w:id="533" w:name="_Toc6101"/>
      <w:bookmarkStart w:id="534" w:name="_Toc23177"/>
      <w:bookmarkStart w:id="535" w:name="_Toc16409"/>
      <w:bookmarkStart w:id="536" w:name="_Toc1315"/>
      <w:bookmarkStart w:id="537" w:name="_Toc25750608"/>
      <w:bookmarkStart w:id="538" w:name="_Toc2113"/>
      <w:bookmarkStart w:id="539" w:name="_Toc17214"/>
      <w:bookmarkStart w:id="540" w:name="_Toc26551"/>
      <w:r>
        <w:rPr>
          <w:rFonts w:hint="eastAsia" w:ascii="宋体" w:hAnsi="宋体" w:eastAsia="宋体"/>
          <w:sz w:val="24"/>
          <w:szCs w:val="24"/>
        </w:rPr>
        <w:t>四、</w:t>
      </w:r>
      <w:r>
        <w:rPr>
          <w:rFonts w:ascii="宋体" w:hAnsi="宋体" w:eastAsia="宋体"/>
          <w:sz w:val="24"/>
          <w:szCs w:val="24"/>
        </w:rPr>
        <w:t>比选申请文件</w:t>
      </w:r>
      <w:bookmarkEnd w:id="511"/>
      <w:bookmarkEnd w:id="512"/>
      <w:bookmarkEnd w:id="513"/>
      <w:bookmarkEnd w:id="514"/>
      <w:r>
        <w:rPr>
          <w:rFonts w:hint="eastAsia" w:ascii="宋体" w:hAnsi="宋体" w:eastAsia="宋体"/>
          <w:sz w:val="24"/>
          <w:szCs w:val="24"/>
        </w:rPr>
        <w:t>的密封和递交</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6"/>
        <w:spacing w:before="0" w:after="0" w:afterAutospacing="0"/>
        <w:ind w:left="0" w:right="0" w:firstLine="422" w:firstLineChars="200"/>
        <w:rPr>
          <w:rFonts w:ascii="宋体" w:hAnsi="宋体"/>
          <w:sz w:val="21"/>
          <w:szCs w:val="21"/>
        </w:rPr>
      </w:pPr>
      <w:bookmarkStart w:id="541" w:name="_Toc492478739"/>
      <w:bookmarkStart w:id="542" w:name="_Toc15663"/>
      <w:bookmarkStart w:id="543" w:name="_Toc15071"/>
      <w:bookmarkStart w:id="544" w:name="_Toc18616"/>
      <w:bookmarkStart w:id="545" w:name="_Toc9307"/>
      <w:bookmarkStart w:id="546" w:name="_Toc25750609"/>
      <w:bookmarkStart w:id="547" w:name="_Toc390098440"/>
      <w:bookmarkStart w:id="548" w:name="_Toc375039085"/>
      <w:bookmarkStart w:id="549" w:name="_Toc12329"/>
      <w:bookmarkStart w:id="550" w:name="_Toc5922"/>
      <w:bookmarkStart w:id="551" w:name="_Toc13875"/>
      <w:bookmarkStart w:id="552" w:name="_Toc19495"/>
      <w:bookmarkStart w:id="553" w:name="_Toc383891189"/>
      <w:bookmarkStart w:id="554" w:name="_Toc13829"/>
      <w:bookmarkStart w:id="555" w:name="_Toc26249"/>
      <w:bookmarkStart w:id="556" w:name="_Toc15735"/>
      <w:bookmarkStart w:id="557" w:name="_Toc24648"/>
      <w:bookmarkStart w:id="558" w:name="_Toc30196"/>
      <w:bookmarkStart w:id="559" w:name="_Toc12983524"/>
      <w:bookmarkStart w:id="560" w:name="_Toc15650"/>
      <w:bookmarkStart w:id="561" w:name="_Toc385427814"/>
      <w:bookmarkStart w:id="562" w:name="_Toc13621"/>
      <w:bookmarkStart w:id="563" w:name="_Toc17200"/>
      <w:bookmarkStart w:id="564" w:name="_Toc12117"/>
      <w:r>
        <w:rPr>
          <w:rFonts w:hint="eastAsia" w:ascii="宋体" w:hAnsi="宋体"/>
          <w:sz w:val="21"/>
          <w:szCs w:val="21"/>
        </w:rPr>
        <w:t>17.</w:t>
      </w:r>
      <w:r>
        <w:rPr>
          <w:rFonts w:ascii="宋体" w:hAnsi="宋体"/>
          <w:sz w:val="21"/>
          <w:szCs w:val="21"/>
        </w:rPr>
        <w:t>比选申请文件</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tabs>
          <w:tab w:val="left" w:pos="1134"/>
          <w:tab w:val="left" w:pos="8364"/>
        </w:tabs>
        <w:spacing w:before="0" w:after="0" w:afterAutospacing="0"/>
        <w:ind w:left="0" w:right="0" w:firstLine="420" w:firstLineChars="200"/>
        <w:rPr>
          <w:rFonts w:ascii="宋体" w:hAnsi="宋体"/>
        </w:rPr>
      </w:pPr>
      <w:bookmarkStart w:id="565" w:name="_Toc390098441"/>
      <w:bookmarkStart w:id="566" w:name="_Toc383891190"/>
      <w:bookmarkStart w:id="567" w:name="_Toc385427815"/>
      <w:bookmarkStart w:id="568" w:name="_Toc375039086"/>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个包，其中价格文件须独立封装为1个包。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rPr>
      </w:pPr>
      <w:r>
        <w:rPr>
          <w:rFonts w:hint="eastAsia" w:ascii="宋体" w:hAnsi="宋体"/>
        </w:rPr>
        <w:t>（1）</w:t>
      </w:r>
      <w:r>
        <w:rPr>
          <w:rFonts w:ascii="宋体" w:hAnsi="宋体"/>
        </w:rPr>
        <w:t>项目名称：</w:t>
      </w:r>
      <w:r>
        <w:rPr>
          <w:rFonts w:hint="eastAsia" w:ascii="宋体" w:hAnsi="宋体"/>
          <w:u w:val="single"/>
          <w:lang w:eastAsia="zh-CN"/>
        </w:rPr>
        <w:t>南宁轨道交通2号线电客车转向架橡胶件委外检测项目（2022年-2023年）（重2）</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ascii="宋体" w:hAnsi="宋体"/>
          <w:u w:val="single"/>
        </w:rPr>
        <w:t>202211080002</w:t>
      </w:r>
      <w:r>
        <w:rPr>
          <w:rFonts w:hint="eastAsia" w:ascii="宋体" w:hAnsi="宋体"/>
          <w:u w:val="single"/>
          <w:lang w:eastAsia="zh-CN"/>
        </w:rPr>
        <w:t>（重2）</w:t>
      </w:r>
      <w:r>
        <w:rPr>
          <w:rFonts w:hint="eastAsia" w:ascii="宋体" w:hAnsi="宋体"/>
          <w:u w:val="single"/>
        </w:rPr>
        <w:t xml:space="preserve"> </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w:t>
      </w:r>
      <w:r>
        <w:rPr>
          <w:rFonts w:hint="eastAsia" w:ascii="宋体" w:hAnsi="宋体"/>
        </w:rPr>
        <w:t>比选人</w:t>
      </w:r>
      <w:r>
        <w:rPr>
          <w:rFonts w:ascii="宋体" w:hAnsi="宋体"/>
        </w:rPr>
        <w:t>将不承担比选申请文件错放或提前开封的责任，由此造成的提前开封的比选申请文件，</w:t>
      </w:r>
      <w:r>
        <w:rPr>
          <w:rFonts w:hint="eastAsia" w:ascii="宋体" w:hAnsi="宋体"/>
        </w:rPr>
        <w:t>比选人</w:t>
      </w:r>
      <w:r>
        <w:rPr>
          <w:rFonts w:ascii="宋体" w:hAnsi="宋体"/>
        </w:rPr>
        <w:t>将予以拒绝，并退还给比选申请人。</w:t>
      </w:r>
    </w:p>
    <w:p>
      <w:pPr>
        <w:pStyle w:val="6"/>
        <w:numPr>
          <w:ilvl w:val="0"/>
          <w:numId w:val="4"/>
        </w:numPr>
        <w:spacing w:before="0" w:after="0" w:afterAutospacing="0"/>
        <w:ind w:left="0" w:right="0" w:firstLine="422" w:firstLineChars="200"/>
        <w:rPr>
          <w:rFonts w:ascii="宋体" w:hAnsi="宋体"/>
          <w:sz w:val="21"/>
          <w:szCs w:val="21"/>
        </w:rPr>
      </w:pPr>
      <w:bookmarkStart w:id="569" w:name="_Toc12983525"/>
      <w:bookmarkStart w:id="570" w:name="_Toc2337"/>
      <w:bookmarkStart w:id="571" w:name="_Toc642"/>
      <w:bookmarkStart w:id="572" w:name="_Toc11255"/>
      <w:bookmarkStart w:id="573" w:name="_Toc16818"/>
      <w:bookmarkStart w:id="574" w:name="_Toc16266"/>
      <w:bookmarkStart w:id="575" w:name="_Toc13883"/>
      <w:bookmarkStart w:id="576" w:name="_Toc32760"/>
      <w:bookmarkStart w:id="577" w:name="_Toc25750610"/>
      <w:bookmarkStart w:id="578" w:name="_Toc23859"/>
      <w:bookmarkStart w:id="579" w:name="_Toc6482"/>
      <w:bookmarkStart w:id="580" w:name="_Toc4735"/>
      <w:bookmarkStart w:id="581" w:name="_Toc16755"/>
      <w:bookmarkStart w:id="582" w:name="_Toc28071"/>
      <w:bookmarkStart w:id="583" w:name="_Toc6339"/>
      <w:bookmarkStart w:id="584" w:name="_Toc11039"/>
      <w:bookmarkStart w:id="585" w:name="_Toc22180"/>
      <w:bookmarkStart w:id="586" w:name="_Toc11096"/>
      <w:bookmarkStart w:id="587" w:name="_Toc22445"/>
      <w:bookmarkStart w:id="588" w:name="_Toc492478740"/>
      <w:r>
        <w:rPr>
          <w:rFonts w:ascii="宋体" w:hAnsi="宋体"/>
          <w:sz w:val="21"/>
          <w:szCs w:val="21"/>
        </w:rPr>
        <w:t>比选申请截止期</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w:t>
      </w:r>
      <w:r>
        <w:rPr>
          <w:rFonts w:hint="eastAsia" w:ascii="宋体" w:hAnsi="宋体"/>
        </w:rPr>
        <w:t>比选人</w:t>
      </w:r>
      <w:r>
        <w:rPr>
          <w:rFonts w:ascii="宋体" w:hAnsi="宋体"/>
        </w:rPr>
        <w:t>修改通知规定的时间递交。在此情况下，</w:t>
      </w:r>
      <w:r>
        <w:rPr>
          <w:rFonts w:hint="eastAsia" w:ascii="宋体" w:hAnsi="宋体"/>
        </w:rPr>
        <w:t>比选人</w:t>
      </w:r>
      <w:r>
        <w:rPr>
          <w:rFonts w:ascii="宋体" w:hAnsi="宋体"/>
        </w:rPr>
        <w:t>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ascii="宋体" w:hAnsi="宋体"/>
          <w:sz w:val="21"/>
          <w:szCs w:val="21"/>
        </w:rPr>
      </w:pPr>
      <w:bookmarkStart w:id="589" w:name="_Toc385427816"/>
      <w:bookmarkStart w:id="590" w:name="_Toc390098442"/>
      <w:bookmarkStart w:id="591" w:name="_Toc12983526"/>
      <w:bookmarkStart w:id="592" w:name="_Toc375039087"/>
      <w:bookmarkStart w:id="593" w:name="_Toc29066"/>
      <w:bookmarkStart w:id="594" w:name="_Toc383891191"/>
      <w:bookmarkStart w:id="595" w:name="_Toc324"/>
      <w:bookmarkStart w:id="596" w:name="_Toc11373"/>
      <w:bookmarkStart w:id="597" w:name="_Toc26431"/>
      <w:bookmarkStart w:id="598" w:name="_Toc9522"/>
      <w:bookmarkStart w:id="599" w:name="_Toc21960"/>
      <w:bookmarkStart w:id="600" w:name="_Toc25750611"/>
      <w:bookmarkStart w:id="601" w:name="_Toc2226"/>
      <w:bookmarkStart w:id="602" w:name="_Toc492478741"/>
      <w:bookmarkStart w:id="603" w:name="_Toc14239"/>
      <w:bookmarkStart w:id="604" w:name="_Toc3597"/>
      <w:bookmarkStart w:id="605" w:name="_Toc15252"/>
      <w:bookmarkStart w:id="606" w:name="_Toc13581"/>
      <w:bookmarkStart w:id="607" w:name="_Toc10818"/>
      <w:bookmarkStart w:id="608" w:name="_Toc29473"/>
      <w:bookmarkStart w:id="609" w:name="_Toc22945"/>
      <w:bookmarkStart w:id="610" w:name="_Toc23404"/>
      <w:bookmarkStart w:id="611" w:name="_Toc32621"/>
      <w:bookmarkStart w:id="612" w:name="_Toc32252"/>
      <w:r>
        <w:rPr>
          <w:rFonts w:ascii="宋体" w:hAnsi="宋体"/>
          <w:sz w:val="21"/>
          <w:szCs w:val="21"/>
        </w:rPr>
        <w:t>迟交的比选申请文件</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6"/>
        <w:numPr>
          <w:ilvl w:val="0"/>
          <w:numId w:val="4"/>
        </w:numPr>
        <w:spacing w:before="0" w:after="0" w:afterAutospacing="0"/>
        <w:ind w:left="0" w:right="0" w:firstLine="422" w:firstLineChars="200"/>
        <w:rPr>
          <w:rFonts w:ascii="宋体" w:hAnsi="宋体"/>
          <w:sz w:val="21"/>
          <w:szCs w:val="21"/>
        </w:rPr>
      </w:pPr>
      <w:bookmarkStart w:id="613" w:name="_Toc14411"/>
      <w:bookmarkStart w:id="614" w:name="_Toc12682"/>
      <w:bookmarkStart w:id="615" w:name="_Toc26282"/>
      <w:bookmarkStart w:id="616" w:name="_Toc8636"/>
      <w:bookmarkStart w:id="617" w:name="_Toc28452"/>
      <w:bookmarkStart w:id="618" w:name="_Toc243"/>
      <w:bookmarkStart w:id="619" w:name="_Toc17797"/>
      <w:bookmarkStart w:id="620" w:name="_Toc390098443"/>
      <w:bookmarkStart w:id="621" w:name="_Toc14522"/>
      <w:bookmarkStart w:id="622" w:name="_Toc385427817"/>
      <w:bookmarkStart w:id="623" w:name="_Toc492478742"/>
      <w:bookmarkStart w:id="624" w:name="_Toc9706"/>
      <w:bookmarkStart w:id="625" w:name="_Toc23449"/>
      <w:bookmarkStart w:id="626" w:name="_Toc383891192"/>
      <w:bookmarkStart w:id="627" w:name="_Toc4605"/>
      <w:bookmarkStart w:id="628" w:name="_Toc27195"/>
      <w:bookmarkStart w:id="629" w:name="_Toc29208"/>
      <w:bookmarkStart w:id="630" w:name="_Toc21796"/>
      <w:bookmarkStart w:id="631" w:name="_Toc25750612"/>
      <w:bookmarkStart w:id="632" w:name="_Toc25427"/>
      <w:bookmarkStart w:id="633" w:name="_Toc31033"/>
      <w:bookmarkStart w:id="634" w:name="_Toc12983527"/>
      <w:bookmarkStart w:id="635" w:name="_Toc24030"/>
      <w:bookmarkStart w:id="636" w:name="_Toc375039088"/>
      <w:r>
        <w:rPr>
          <w:rFonts w:ascii="宋体" w:hAnsi="宋体"/>
          <w:sz w:val="21"/>
          <w:szCs w:val="21"/>
        </w:rPr>
        <w:t>比选申请文件的修改和撤回</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5"/>
        <w:spacing w:after="0" w:afterAutospacing="0" w:line="360" w:lineRule="auto"/>
        <w:ind w:left="0" w:right="0" w:firstLine="482" w:firstLineChars="200"/>
        <w:rPr>
          <w:rFonts w:ascii="宋体" w:hAnsi="宋体" w:eastAsia="宋体"/>
          <w:sz w:val="24"/>
          <w:szCs w:val="24"/>
        </w:rPr>
      </w:pPr>
      <w:bookmarkStart w:id="637" w:name="_Toc31978"/>
      <w:bookmarkStart w:id="638" w:name="_Toc22587"/>
      <w:bookmarkStart w:id="639" w:name="_Toc375039089"/>
      <w:bookmarkStart w:id="640" w:name="_Toc5592"/>
      <w:bookmarkStart w:id="641" w:name="_Toc24485"/>
      <w:bookmarkStart w:id="642" w:name="_Toc28694"/>
      <w:bookmarkStart w:id="643" w:name="_Toc25433"/>
      <w:bookmarkStart w:id="644" w:name="_Toc12182"/>
      <w:bookmarkStart w:id="645" w:name="_Toc9728"/>
      <w:bookmarkStart w:id="646" w:name="_Toc10325"/>
      <w:bookmarkStart w:id="647" w:name="_Toc12983528"/>
      <w:bookmarkStart w:id="648" w:name="_Toc11529"/>
      <w:bookmarkStart w:id="649" w:name="_Toc29264"/>
      <w:bookmarkStart w:id="650" w:name="_Toc2306"/>
      <w:bookmarkStart w:id="651" w:name="_Toc18076"/>
      <w:bookmarkStart w:id="652" w:name="_Toc3006"/>
      <w:bookmarkStart w:id="653" w:name="_Toc4291"/>
      <w:bookmarkStart w:id="654" w:name="_Toc390098444"/>
      <w:bookmarkStart w:id="655" w:name="_Toc385427818"/>
      <w:bookmarkStart w:id="656" w:name="_Toc383891193"/>
      <w:bookmarkStart w:id="657" w:name="_Toc16856"/>
      <w:bookmarkStart w:id="658" w:name="_Toc9549"/>
      <w:bookmarkStart w:id="659" w:name="_Toc492478743"/>
      <w:bookmarkStart w:id="660" w:name="_Toc25750613"/>
      <w:bookmarkStart w:id="661" w:name="_Toc20014"/>
      <w:bookmarkStart w:id="662" w:name="_Toc10427"/>
      <w:bookmarkStart w:id="663" w:name="_Toc15979"/>
      <w:bookmarkStart w:id="664" w:name="_Toc18916"/>
      <w:bookmarkStart w:id="665" w:name="_Toc6849"/>
      <w:bookmarkStart w:id="666" w:name="_Toc19171"/>
      <w:r>
        <w:rPr>
          <w:rFonts w:hint="eastAsia" w:ascii="宋体" w:hAnsi="宋体" w:eastAsia="宋体"/>
          <w:sz w:val="24"/>
          <w:szCs w:val="24"/>
        </w:rPr>
        <w:t>五、</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Fonts w:hint="eastAsia" w:ascii="宋体" w:hAnsi="宋体" w:eastAsia="宋体"/>
          <w:sz w:val="24"/>
          <w:szCs w:val="24"/>
        </w:rPr>
        <w:t>比选申请文件递交</w:t>
      </w:r>
      <w:bookmarkEnd w:id="660"/>
      <w:r>
        <w:rPr>
          <w:rFonts w:hint="eastAsia" w:ascii="宋体" w:hAnsi="宋体" w:eastAsia="宋体"/>
          <w:sz w:val="24"/>
          <w:szCs w:val="24"/>
        </w:rPr>
        <w:t>与评审</w:t>
      </w:r>
      <w:bookmarkEnd w:id="661"/>
      <w:bookmarkEnd w:id="662"/>
      <w:bookmarkEnd w:id="663"/>
      <w:bookmarkEnd w:id="664"/>
      <w:bookmarkEnd w:id="665"/>
      <w:bookmarkEnd w:id="666"/>
    </w:p>
    <w:p>
      <w:pPr>
        <w:pStyle w:val="6"/>
        <w:spacing w:before="0" w:after="0" w:afterAutospacing="0"/>
        <w:ind w:left="0" w:right="0" w:firstLine="422" w:firstLineChars="200"/>
        <w:rPr>
          <w:rFonts w:ascii="宋体" w:hAnsi="宋体"/>
          <w:sz w:val="21"/>
          <w:szCs w:val="21"/>
        </w:rPr>
      </w:pPr>
      <w:bookmarkStart w:id="667" w:name="_Toc24196"/>
      <w:bookmarkStart w:id="668" w:name="_Toc25116"/>
      <w:bookmarkStart w:id="669" w:name="_Toc4638"/>
      <w:bookmarkStart w:id="670" w:name="_Toc12983529"/>
      <w:bookmarkStart w:id="671" w:name="_Toc18919"/>
      <w:bookmarkStart w:id="672" w:name="_Toc383891194"/>
      <w:bookmarkStart w:id="673" w:name="_Toc6839"/>
      <w:bookmarkStart w:id="674" w:name="_Toc385427819"/>
      <w:bookmarkStart w:id="675" w:name="_Toc6377"/>
      <w:bookmarkStart w:id="676" w:name="_Toc4674"/>
      <w:bookmarkStart w:id="677" w:name="_Toc4825"/>
      <w:bookmarkStart w:id="678" w:name="_Toc23705"/>
      <w:bookmarkStart w:id="679" w:name="_Toc9309"/>
      <w:bookmarkStart w:id="680" w:name="_Toc10883"/>
      <w:bookmarkStart w:id="681" w:name="_Toc375039090"/>
      <w:bookmarkStart w:id="682" w:name="_Toc895"/>
      <w:bookmarkStart w:id="683" w:name="_Toc6974"/>
      <w:bookmarkStart w:id="684" w:name="_Toc5182"/>
      <w:bookmarkStart w:id="685" w:name="_Toc390098445"/>
      <w:bookmarkStart w:id="686" w:name="_Toc10292"/>
      <w:bookmarkStart w:id="687" w:name="_Toc9264"/>
      <w:bookmarkStart w:id="688" w:name="_Toc492478744"/>
      <w:bookmarkStart w:id="689" w:name="_Toc4365"/>
      <w:bookmarkStart w:id="690" w:name="_Toc25750614"/>
      <w:r>
        <w:rPr>
          <w:rFonts w:hint="eastAsia" w:ascii="宋体" w:hAnsi="宋体"/>
          <w:sz w:val="21"/>
          <w:szCs w:val="21"/>
        </w:rPr>
        <w:t>21.</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Fonts w:hint="eastAsia" w:ascii="宋体" w:hAnsi="宋体"/>
          <w:sz w:val="21"/>
          <w:szCs w:val="21"/>
        </w:rPr>
        <w:t>比选申请文件递交</w:t>
      </w:r>
      <w:bookmarkEnd w:id="690"/>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 xml:space="preserve"> 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21.2 </w:t>
      </w:r>
      <w:r>
        <w:rPr>
          <w:rFonts w:ascii="宋体" w:hAnsi="宋体"/>
          <w:b/>
        </w:rPr>
        <w:t>比选申请人的</w:t>
      </w:r>
      <w:r>
        <w:rPr>
          <w:rFonts w:hint="eastAsia" w:ascii="宋体" w:hAnsi="宋体"/>
          <w:b/>
        </w:rPr>
        <w:t>法定代表人或被授权人</w:t>
      </w:r>
      <w:r>
        <w:rPr>
          <w:rFonts w:ascii="宋体" w:hAnsi="宋体"/>
          <w:b/>
        </w:rPr>
        <w:t>（以下统称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）必须出示本人有效身份证（</w:t>
      </w:r>
      <w:r>
        <w:rPr>
          <w:rFonts w:hint="eastAsia" w:ascii="宋体" w:hAnsi="宋体"/>
          <w:b/>
        </w:rPr>
        <w:t>限中国公民居民身份证、外籍有效护照</w:t>
      </w:r>
      <w:r>
        <w:rPr>
          <w:rFonts w:ascii="宋体" w:hAnsi="宋体"/>
          <w:b/>
        </w:rPr>
        <w:t>，下同）原件，比选申请人</w:t>
      </w:r>
      <w:r>
        <w:rPr>
          <w:rFonts w:hint="eastAsia" w:ascii="宋体" w:hAnsi="宋体"/>
          <w:b/>
        </w:rPr>
        <w:t>为</w:t>
      </w:r>
      <w:r>
        <w:rPr>
          <w:rFonts w:ascii="宋体" w:hAnsi="宋体"/>
          <w:b/>
        </w:rPr>
        <w:t>授权代表还必须同时出示比选申请授权书原件，以证明授权代表的身份和被授权范围，并由</w:t>
      </w:r>
      <w:r>
        <w:rPr>
          <w:rFonts w:hint="eastAsia" w:ascii="宋体" w:hAnsi="宋体"/>
          <w:b/>
        </w:rPr>
        <w:t>比选人</w:t>
      </w:r>
      <w:r>
        <w:rPr>
          <w:rFonts w:ascii="宋体" w:hAnsi="宋体"/>
          <w:b/>
        </w:rPr>
        <w:t>验证确认。</w:t>
      </w:r>
      <w:bookmarkStart w:id="691" w:name="_Toc251051540"/>
      <w:r>
        <w:rPr>
          <w:rFonts w:ascii="宋体" w:hAnsi="宋体"/>
          <w:b/>
        </w:rPr>
        <w:t>否则作无效</w:t>
      </w:r>
      <w:r>
        <w:rPr>
          <w:rFonts w:hint="eastAsia" w:ascii="宋体" w:hAnsi="宋体"/>
          <w:b/>
        </w:rPr>
        <w:t>比选文件处理</w:t>
      </w:r>
      <w:bookmarkEnd w:id="691"/>
      <w:r>
        <w:rPr>
          <w:rFonts w:hint="eastAsia" w:ascii="宋体" w:hAnsi="宋体"/>
          <w:b/>
        </w:rPr>
        <w:t>。</w:t>
      </w:r>
    </w:p>
    <w:p>
      <w:pPr>
        <w:pStyle w:val="6"/>
        <w:spacing w:before="0" w:after="0" w:afterAutospacing="0"/>
        <w:ind w:left="0" w:right="0" w:firstLine="422" w:firstLineChars="200"/>
        <w:rPr>
          <w:rFonts w:ascii="宋体" w:hAnsi="宋体"/>
          <w:sz w:val="21"/>
          <w:szCs w:val="21"/>
        </w:rPr>
      </w:pPr>
      <w:bookmarkStart w:id="692" w:name="_Toc375039091"/>
      <w:bookmarkStart w:id="693" w:name="_Toc390098446"/>
      <w:bookmarkStart w:id="694" w:name="_Toc385427820"/>
      <w:bookmarkStart w:id="695" w:name="_Toc383891195"/>
      <w:bookmarkStart w:id="696" w:name="_Toc13202"/>
      <w:bookmarkStart w:id="697" w:name="_Toc16068"/>
      <w:bookmarkStart w:id="698" w:name="_Toc15466"/>
      <w:bookmarkStart w:id="699" w:name="_Toc30671"/>
      <w:bookmarkStart w:id="700" w:name="_Toc11013"/>
      <w:bookmarkStart w:id="701" w:name="_Toc25270"/>
      <w:bookmarkStart w:id="702" w:name="_Toc27636"/>
      <w:bookmarkStart w:id="703" w:name="_Toc23699"/>
      <w:bookmarkStart w:id="704" w:name="_Toc24630"/>
      <w:bookmarkStart w:id="705" w:name="_Toc24687"/>
      <w:bookmarkStart w:id="706" w:name="_Toc11263"/>
      <w:bookmarkStart w:id="707" w:name="_Toc1920"/>
      <w:bookmarkStart w:id="708" w:name="_Toc21819"/>
      <w:bookmarkStart w:id="709" w:name="_Toc5267"/>
      <w:bookmarkStart w:id="710" w:name="_Toc16601"/>
      <w:bookmarkStart w:id="711" w:name="_Toc9391"/>
      <w:bookmarkStart w:id="712" w:name="_Toc25750615"/>
      <w:bookmarkStart w:id="713" w:name="_Toc17785"/>
      <w:bookmarkStart w:id="714" w:name="_Toc12983530"/>
      <w:bookmarkStart w:id="715" w:name="_Toc492478745"/>
      <w:r>
        <w:rPr>
          <w:rFonts w:hint="eastAsia" w:ascii="宋体" w:hAnsi="宋体"/>
          <w:sz w:val="21"/>
          <w:szCs w:val="21"/>
        </w:rPr>
        <w:t>22.</w:t>
      </w:r>
      <w:r>
        <w:rPr>
          <w:rFonts w:ascii="宋体" w:hAnsi="宋体"/>
          <w:sz w:val="21"/>
          <w:szCs w:val="21"/>
        </w:rPr>
        <w:t>评审</w:t>
      </w:r>
      <w:bookmarkEnd w:id="692"/>
      <w:bookmarkEnd w:id="693"/>
      <w:bookmarkEnd w:id="694"/>
      <w:bookmarkEnd w:id="695"/>
      <w:r>
        <w:rPr>
          <w:rFonts w:ascii="宋体" w:hAnsi="宋体"/>
          <w:sz w:val="21"/>
          <w:szCs w:val="21"/>
        </w:rPr>
        <w:t>程序</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tabs>
          <w:tab w:val="left" w:pos="8364"/>
        </w:tabs>
        <w:spacing w:before="0" w:after="0" w:afterAutospacing="0"/>
        <w:ind w:left="0" w:right="0" w:firstLine="420" w:firstLineChars="200"/>
        <w:rPr>
          <w:rFonts w:ascii="宋体" w:hAnsi="宋体"/>
          <w:b/>
        </w:rPr>
      </w:pPr>
      <w:bookmarkStart w:id="716" w:name="_Toc375039092"/>
      <w:r>
        <w:rPr>
          <w:rFonts w:hint="eastAsia" w:ascii="宋体" w:hAnsi="宋体"/>
        </w:rPr>
        <w:t>详见第六章《评分办法》。</w:t>
      </w:r>
      <w:bookmarkEnd w:id="716"/>
    </w:p>
    <w:p>
      <w:pPr>
        <w:pStyle w:val="6"/>
        <w:numPr>
          <w:ilvl w:val="0"/>
          <w:numId w:val="5"/>
        </w:numPr>
        <w:spacing w:before="0" w:after="0" w:afterAutospacing="0"/>
        <w:ind w:left="0" w:right="0" w:firstLine="422" w:firstLineChars="200"/>
        <w:rPr>
          <w:rFonts w:ascii="宋体" w:hAnsi="宋体"/>
          <w:sz w:val="21"/>
          <w:szCs w:val="21"/>
        </w:rPr>
      </w:pPr>
      <w:bookmarkStart w:id="717" w:name="_Toc390098447"/>
      <w:bookmarkStart w:id="718" w:name="_Toc1456"/>
      <w:bookmarkStart w:id="719" w:name="_Toc833"/>
      <w:bookmarkStart w:id="720" w:name="_Toc5386"/>
      <w:bookmarkStart w:id="721" w:name="_Toc12983531"/>
      <w:bookmarkStart w:id="722" w:name="_Toc13421"/>
      <w:bookmarkStart w:id="723" w:name="_Toc383891196"/>
      <w:bookmarkStart w:id="724" w:name="_Toc385427821"/>
      <w:bookmarkStart w:id="725" w:name="_Toc29929"/>
      <w:bookmarkStart w:id="726" w:name="_Toc18063"/>
      <w:bookmarkStart w:id="727" w:name="_Toc16072"/>
      <w:bookmarkStart w:id="728" w:name="_Toc492478746"/>
      <w:bookmarkStart w:id="729" w:name="_Toc24755"/>
      <w:bookmarkStart w:id="730" w:name="_Toc11716"/>
      <w:bookmarkStart w:id="731" w:name="_Toc375039093"/>
      <w:bookmarkStart w:id="732" w:name="_Toc26137"/>
      <w:bookmarkStart w:id="733" w:name="_Toc18803"/>
      <w:bookmarkStart w:id="734" w:name="_Toc25750616"/>
      <w:bookmarkStart w:id="735" w:name="_Toc25047"/>
      <w:bookmarkStart w:id="736" w:name="_Toc17980"/>
      <w:bookmarkStart w:id="737" w:name="_Toc14719"/>
      <w:bookmarkStart w:id="738" w:name="_Toc27570"/>
      <w:bookmarkStart w:id="739" w:name="_Toc15"/>
      <w:bookmarkStart w:id="740" w:name="_Toc8295"/>
      <w:r>
        <w:rPr>
          <w:rFonts w:ascii="宋体" w:hAnsi="宋体"/>
          <w:sz w:val="21"/>
          <w:szCs w:val="21"/>
        </w:rPr>
        <w:t>与</w:t>
      </w:r>
      <w:r>
        <w:rPr>
          <w:rFonts w:hint="eastAsia" w:ascii="宋体" w:hAnsi="宋体"/>
          <w:sz w:val="21"/>
          <w:szCs w:val="21"/>
        </w:rPr>
        <w:t>比选人</w:t>
      </w:r>
      <w:r>
        <w:rPr>
          <w:rFonts w:ascii="宋体" w:hAnsi="宋体"/>
          <w:sz w:val="21"/>
          <w:szCs w:val="21"/>
        </w:rPr>
        <w:t>和评审委员会的接触</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w:t>
      </w:r>
      <w:r>
        <w:rPr>
          <w:rFonts w:hint="eastAsia" w:ascii="宋体" w:hAnsi="宋体"/>
        </w:rPr>
        <w:t>比选</w:t>
      </w:r>
      <w:r>
        <w:rPr>
          <w:rFonts w:hint="eastAsia" w:ascii="宋体" w:hAnsi="宋体" w:cs="Arial"/>
        </w:rPr>
        <w:t>人</w:t>
      </w:r>
      <w:r>
        <w:rPr>
          <w:rFonts w:ascii="宋体" w:hAnsi="宋体" w:cs="Arial"/>
        </w:rPr>
        <w:t>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w:t>
      </w:r>
      <w:r>
        <w:rPr>
          <w:rFonts w:hint="eastAsia" w:ascii="宋体" w:hAnsi="宋体"/>
        </w:rPr>
        <w:t>比选</w:t>
      </w:r>
      <w:r>
        <w:rPr>
          <w:rFonts w:hint="eastAsia" w:ascii="宋体" w:hAnsi="宋体" w:cs="Arial"/>
        </w:rPr>
        <w:t>人</w:t>
      </w:r>
      <w:r>
        <w:rPr>
          <w:rFonts w:ascii="宋体" w:hAnsi="宋体" w:cs="Arial"/>
        </w:rPr>
        <w:t>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ascii="宋体" w:hAnsi="宋体"/>
          <w:sz w:val="21"/>
          <w:szCs w:val="21"/>
        </w:rPr>
      </w:pPr>
      <w:bookmarkStart w:id="741" w:name="_Toc25750617"/>
      <w:bookmarkStart w:id="742" w:name="_Toc9602"/>
      <w:bookmarkStart w:id="743" w:name="_Toc29504"/>
      <w:bookmarkStart w:id="744" w:name="_Toc12909"/>
      <w:bookmarkStart w:id="745" w:name="_Toc7858"/>
      <w:bookmarkStart w:id="746" w:name="_Toc12983532"/>
      <w:bookmarkStart w:id="747" w:name="_Toc12555"/>
      <w:bookmarkStart w:id="748" w:name="_Toc385427822"/>
      <w:bookmarkStart w:id="749" w:name="_Toc12671"/>
      <w:bookmarkStart w:id="750" w:name="_Toc383891197"/>
      <w:bookmarkStart w:id="751" w:name="_Toc16963"/>
      <w:bookmarkStart w:id="752" w:name="_Toc654"/>
      <w:bookmarkStart w:id="753" w:name="_Toc492478747"/>
      <w:bookmarkStart w:id="754" w:name="_Toc19810"/>
      <w:bookmarkStart w:id="755" w:name="_Toc20523"/>
      <w:bookmarkStart w:id="756" w:name="_Toc15988"/>
      <w:bookmarkStart w:id="757" w:name="_Toc21167"/>
      <w:bookmarkStart w:id="758" w:name="_Toc18515"/>
      <w:bookmarkStart w:id="759" w:name="_Toc390098448"/>
      <w:bookmarkStart w:id="760" w:name="_Toc30207"/>
      <w:bookmarkStart w:id="761" w:name="_Toc12960"/>
      <w:bookmarkStart w:id="762" w:name="_Toc25734"/>
      <w:bookmarkStart w:id="763" w:name="_Toc9941"/>
      <w:bookmarkStart w:id="764" w:name="_Toc378514937"/>
      <w:bookmarkStart w:id="765" w:name="_Toc294723156"/>
      <w:bookmarkStart w:id="766" w:name="_Toc375039094"/>
      <w:r>
        <w:rPr>
          <w:rFonts w:hint="eastAsia" w:ascii="宋体" w:hAnsi="宋体"/>
          <w:sz w:val="21"/>
          <w:szCs w:val="21"/>
        </w:rPr>
        <w:t>评审过程保密</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w:t>
      </w:r>
      <w:r>
        <w:rPr>
          <w:rFonts w:hint="eastAsia" w:ascii="宋体" w:hAnsi="宋体"/>
        </w:rPr>
        <w:t>比选</w:t>
      </w:r>
      <w:r>
        <w:rPr>
          <w:rFonts w:hint="eastAsia" w:ascii="宋体" w:hAnsi="宋体" w:cs="Arial"/>
        </w:rPr>
        <w:t>人和评审专家施加影响的任何行为，都将导致取消比选申请资格。</w:t>
      </w:r>
    </w:p>
    <w:p>
      <w:pPr>
        <w:pStyle w:val="6"/>
        <w:numPr>
          <w:ilvl w:val="0"/>
          <w:numId w:val="5"/>
        </w:numPr>
        <w:spacing w:before="0" w:after="0" w:afterAutospacing="0"/>
        <w:ind w:left="0" w:right="0" w:firstLine="422" w:firstLineChars="200"/>
        <w:rPr>
          <w:rFonts w:ascii="宋体" w:hAnsi="宋体"/>
          <w:sz w:val="21"/>
          <w:szCs w:val="21"/>
        </w:rPr>
      </w:pPr>
      <w:bookmarkStart w:id="767" w:name="_Toc11077"/>
      <w:bookmarkStart w:id="768" w:name="_Toc14860"/>
      <w:bookmarkStart w:id="769" w:name="_Toc13768"/>
      <w:bookmarkStart w:id="770" w:name="_Toc8827"/>
      <w:bookmarkStart w:id="771" w:name="_Toc492478748"/>
      <w:bookmarkStart w:id="772" w:name="_Toc25750618"/>
      <w:bookmarkStart w:id="773" w:name="_Toc30429"/>
      <w:bookmarkStart w:id="774" w:name="_Toc390098449"/>
      <w:bookmarkStart w:id="775" w:name="_Toc12983533"/>
      <w:bookmarkStart w:id="776" w:name="_Toc6624"/>
      <w:bookmarkStart w:id="777" w:name="_Toc5983"/>
      <w:bookmarkStart w:id="778" w:name="_Toc1983"/>
      <w:bookmarkStart w:id="779" w:name="_Toc383891198"/>
      <w:bookmarkStart w:id="780" w:name="_Toc24327"/>
      <w:bookmarkStart w:id="781" w:name="_Toc28701"/>
      <w:bookmarkStart w:id="782" w:name="_Toc13743"/>
      <w:bookmarkStart w:id="783" w:name="_Toc385427823"/>
      <w:bookmarkStart w:id="784" w:name="_Toc23267"/>
      <w:bookmarkStart w:id="785" w:name="_Toc28843"/>
      <w:bookmarkStart w:id="786" w:name="_Toc27670"/>
      <w:bookmarkStart w:id="787" w:name="_Toc22510"/>
      <w:bookmarkStart w:id="788" w:name="_Toc14799"/>
      <w:bookmarkStart w:id="789" w:name="_Toc28898"/>
      <w:r>
        <w:rPr>
          <w:rFonts w:hint="eastAsia" w:ascii="宋体" w:hAnsi="宋体"/>
          <w:sz w:val="21"/>
          <w:szCs w:val="21"/>
        </w:rPr>
        <w:t>比选申请文件的澄清</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6"/>
        <w:numPr>
          <w:ilvl w:val="0"/>
          <w:numId w:val="5"/>
        </w:numPr>
        <w:spacing w:before="0" w:after="0" w:afterAutospacing="0"/>
        <w:ind w:left="0" w:right="0" w:firstLine="422" w:firstLineChars="200"/>
        <w:rPr>
          <w:rFonts w:ascii="宋体" w:hAnsi="宋体"/>
          <w:sz w:val="21"/>
          <w:szCs w:val="21"/>
        </w:rPr>
      </w:pPr>
      <w:bookmarkStart w:id="790" w:name="_Toc12795"/>
      <w:bookmarkStart w:id="791" w:name="_Toc5607"/>
      <w:bookmarkStart w:id="792" w:name="_Toc16884"/>
      <w:bookmarkStart w:id="793" w:name="_Toc5926"/>
      <w:bookmarkStart w:id="794" w:name="_Toc1915"/>
      <w:bookmarkStart w:id="795" w:name="_Toc22681"/>
      <w:bookmarkStart w:id="796" w:name="_Toc25750619"/>
      <w:bookmarkStart w:id="797" w:name="_Toc390098450"/>
      <w:bookmarkStart w:id="798" w:name="_Toc383891199"/>
      <w:bookmarkStart w:id="799" w:name="_Toc12983534"/>
      <w:bookmarkStart w:id="800" w:name="_Toc9040"/>
      <w:bookmarkStart w:id="801" w:name="_Toc5437"/>
      <w:bookmarkStart w:id="802" w:name="_Toc492478749"/>
      <w:bookmarkStart w:id="803" w:name="_Toc26070"/>
      <w:bookmarkStart w:id="804" w:name="_Toc29146"/>
      <w:bookmarkStart w:id="805" w:name="_Toc26318"/>
      <w:bookmarkStart w:id="806" w:name="_Toc4397"/>
      <w:bookmarkStart w:id="807" w:name="_Toc30017"/>
      <w:bookmarkStart w:id="808" w:name="_Toc18093"/>
      <w:bookmarkStart w:id="809" w:name="_Toc28992"/>
      <w:bookmarkStart w:id="810" w:name="_Toc20519"/>
      <w:bookmarkStart w:id="811" w:name="_Toc6908"/>
      <w:bookmarkStart w:id="812" w:name="_Toc385427824"/>
      <w:r>
        <w:rPr>
          <w:rFonts w:hint="eastAsia" w:ascii="宋体" w:hAnsi="宋体"/>
          <w:sz w:val="21"/>
          <w:szCs w:val="21"/>
        </w:rPr>
        <w:t>比选申请文件响应性的确定</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w:t>
      </w:r>
      <w:r>
        <w:rPr>
          <w:rFonts w:hint="eastAsia" w:ascii="宋体" w:hAnsi="宋体"/>
        </w:rPr>
        <w:t>比选</w:t>
      </w:r>
      <w:r>
        <w:rPr>
          <w:rFonts w:hint="eastAsia" w:ascii="宋体" w:hAnsi="宋体" w:cs="Arial"/>
        </w:rPr>
        <w:t>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w:t>
      </w:r>
      <w:r>
        <w:rPr>
          <w:rFonts w:hint="eastAsia" w:ascii="宋体" w:hAnsi="宋体"/>
        </w:rPr>
        <w:t>比选</w:t>
      </w:r>
      <w:r>
        <w:rPr>
          <w:rFonts w:hint="eastAsia" w:ascii="宋体" w:hAnsi="宋体" w:cs="Arial"/>
        </w:rPr>
        <w:t>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ascii="宋体" w:hAnsi="宋体"/>
          <w:sz w:val="21"/>
          <w:szCs w:val="21"/>
        </w:rPr>
      </w:pPr>
      <w:bookmarkStart w:id="813" w:name="_Toc1027"/>
      <w:bookmarkStart w:id="814" w:name="_Toc26239"/>
      <w:bookmarkStart w:id="815" w:name="_Toc12983535"/>
      <w:bookmarkStart w:id="816" w:name="_Toc29398"/>
      <w:bookmarkStart w:id="817" w:name="_Toc383891200"/>
      <w:bookmarkStart w:id="818" w:name="_Toc20810"/>
      <w:bookmarkStart w:id="819" w:name="_Toc22063"/>
      <w:bookmarkStart w:id="820" w:name="_Toc12167"/>
      <w:bookmarkStart w:id="821" w:name="_Toc385427825"/>
      <w:bookmarkStart w:id="822" w:name="_Toc23999"/>
      <w:bookmarkStart w:id="823" w:name="_Toc23956"/>
      <w:bookmarkStart w:id="824" w:name="_Toc20874"/>
      <w:bookmarkStart w:id="825" w:name="_Toc20912"/>
      <w:bookmarkStart w:id="826" w:name="_Toc23808"/>
      <w:bookmarkStart w:id="827" w:name="_Toc17236"/>
      <w:bookmarkStart w:id="828" w:name="_Toc19477"/>
      <w:bookmarkStart w:id="829" w:name="_Toc15051"/>
      <w:bookmarkStart w:id="830" w:name="_Toc31646"/>
      <w:bookmarkStart w:id="831" w:name="_Toc22146"/>
      <w:bookmarkStart w:id="832" w:name="_Toc492478750"/>
      <w:bookmarkStart w:id="833" w:name="_Toc25750620"/>
      <w:bookmarkStart w:id="834" w:name="_Toc21468"/>
      <w:bookmarkStart w:id="835" w:name="_Toc390098451"/>
      <w:r>
        <w:rPr>
          <w:rFonts w:hint="eastAsia" w:ascii="宋体" w:hAnsi="宋体"/>
          <w:sz w:val="21"/>
          <w:szCs w:val="21"/>
        </w:rPr>
        <w:t>比选申请文件计算错误的修正</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按上述修正错误的原则及方法修正后的总价经比选申请人书面确认后作为评审价，若修正后的总价与</w:t>
      </w:r>
      <w:r>
        <w:rPr>
          <w:rFonts w:hint="eastAsia" w:ascii="宋体" w:hAnsi="宋体" w:cs="Arial"/>
          <w:lang w:eastAsia="zh-CN"/>
        </w:rPr>
        <w:t>比选申请</w:t>
      </w:r>
      <w:r>
        <w:rPr>
          <w:rFonts w:hint="eastAsia" w:ascii="宋体" w:hAnsi="宋体" w:cs="Arial"/>
        </w:rPr>
        <w:t>报价不相等，则评标总价和中标价均以修正后的总价为准，如投人不接受按以上规则确定的评标总价和中标价，则其</w:t>
      </w:r>
      <w:r>
        <w:rPr>
          <w:rFonts w:hint="eastAsia" w:ascii="宋体" w:hAnsi="宋体" w:cs="Arial"/>
          <w:lang w:eastAsia="zh-CN"/>
        </w:rPr>
        <w:t>比选申请</w:t>
      </w:r>
      <w:r>
        <w:rPr>
          <w:rFonts w:hint="eastAsia" w:ascii="宋体" w:hAnsi="宋体" w:cs="Arial"/>
        </w:rPr>
        <w:t>将被拒绝。</w:t>
      </w:r>
    </w:p>
    <w:p>
      <w:pPr>
        <w:pStyle w:val="6"/>
        <w:numPr>
          <w:ilvl w:val="0"/>
          <w:numId w:val="5"/>
        </w:numPr>
        <w:spacing w:before="0" w:after="0" w:afterAutospacing="0"/>
        <w:ind w:left="0" w:right="0" w:firstLine="422" w:firstLineChars="200"/>
        <w:rPr>
          <w:rFonts w:ascii="宋体" w:hAnsi="宋体"/>
          <w:sz w:val="21"/>
          <w:szCs w:val="21"/>
        </w:rPr>
      </w:pPr>
      <w:bookmarkStart w:id="836" w:name="_Toc20444"/>
      <w:bookmarkStart w:id="837" w:name="_Toc1004"/>
      <w:bookmarkStart w:id="838" w:name="_Toc385427826"/>
      <w:bookmarkStart w:id="839" w:name="_Toc27112"/>
      <w:bookmarkStart w:id="840" w:name="_Toc29276"/>
      <w:bookmarkStart w:id="841" w:name="_Toc390098452"/>
      <w:bookmarkStart w:id="842" w:name="_Toc9812"/>
      <w:bookmarkStart w:id="843" w:name="_Toc23907"/>
      <w:bookmarkStart w:id="844" w:name="_Toc9737"/>
      <w:bookmarkStart w:id="845" w:name="_Toc5319"/>
      <w:bookmarkStart w:id="846" w:name="_Toc16418"/>
      <w:bookmarkStart w:id="847" w:name="_Toc4958"/>
      <w:bookmarkStart w:id="848" w:name="_Toc25750621"/>
      <w:bookmarkStart w:id="849" w:name="_Toc20854"/>
      <w:bookmarkStart w:id="850" w:name="_Toc492478751"/>
      <w:bookmarkStart w:id="851" w:name="_Toc20881"/>
      <w:bookmarkStart w:id="852" w:name="_Toc22994"/>
      <w:bookmarkStart w:id="853" w:name="_Toc8959"/>
      <w:bookmarkStart w:id="854" w:name="_Toc24176"/>
      <w:bookmarkStart w:id="855" w:name="_Toc12983536"/>
      <w:bookmarkStart w:id="856" w:name="_Toc3258"/>
      <w:bookmarkStart w:id="857" w:name="_Toc383891201"/>
      <w:bookmarkStart w:id="858" w:name="_Toc19936"/>
      <w:r>
        <w:rPr>
          <w:rFonts w:hint="eastAsia" w:ascii="宋体" w:hAnsi="宋体"/>
          <w:sz w:val="21"/>
          <w:szCs w:val="21"/>
        </w:rPr>
        <w:t>比选申请文件的评价与比较</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《评审办法》详见比选文件第六章，</w:t>
      </w:r>
      <w:r>
        <w:rPr>
          <w:rFonts w:hint="eastAsia" w:ascii="宋体" w:hAnsi="宋体"/>
        </w:rPr>
        <w:t>比选</w:t>
      </w:r>
      <w:r>
        <w:rPr>
          <w:rFonts w:hint="eastAsia" w:ascii="宋体" w:hAnsi="宋体" w:cs="Arial"/>
        </w:rPr>
        <w:t>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64"/>
    </w:p>
    <w:p>
      <w:pPr>
        <w:pStyle w:val="6"/>
        <w:numPr>
          <w:ilvl w:val="0"/>
          <w:numId w:val="5"/>
        </w:numPr>
        <w:spacing w:before="0" w:after="0" w:afterAutospacing="0"/>
        <w:ind w:left="0" w:right="0" w:firstLine="422" w:firstLineChars="200"/>
        <w:rPr>
          <w:rFonts w:ascii="宋体" w:hAnsi="宋体"/>
          <w:sz w:val="21"/>
          <w:szCs w:val="21"/>
        </w:rPr>
      </w:pPr>
      <w:bookmarkStart w:id="859" w:name="_Toc11010"/>
      <w:bookmarkStart w:id="860" w:name="_Toc3358"/>
      <w:bookmarkStart w:id="861" w:name="_Toc28489"/>
      <w:bookmarkStart w:id="862" w:name="_Toc27803"/>
      <w:bookmarkStart w:id="863" w:name="_Toc8074"/>
      <w:bookmarkStart w:id="864" w:name="_Toc25750622"/>
      <w:bookmarkStart w:id="865" w:name="_Toc1450"/>
      <w:bookmarkStart w:id="866" w:name="_Toc14300"/>
      <w:bookmarkStart w:id="867" w:name="_Toc11657"/>
      <w:bookmarkStart w:id="868" w:name="_Toc19322"/>
      <w:bookmarkStart w:id="869" w:name="_Toc385427827"/>
      <w:bookmarkStart w:id="870" w:name="_Toc22500"/>
      <w:bookmarkStart w:id="871" w:name="_Toc15146"/>
      <w:bookmarkStart w:id="872" w:name="_Toc32344"/>
      <w:bookmarkStart w:id="873" w:name="_Toc507"/>
      <w:bookmarkStart w:id="874" w:name="_Toc8845"/>
      <w:bookmarkStart w:id="875" w:name="_Toc17460"/>
      <w:bookmarkStart w:id="876" w:name="_Toc383891202"/>
      <w:bookmarkStart w:id="877" w:name="_Toc492478752"/>
      <w:bookmarkStart w:id="878" w:name="_Toc390098453"/>
      <w:bookmarkStart w:id="879" w:name="_Toc12983537"/>
      <w:bookmarkStart w:id="880" w:name="_Toc27289"/>
      <w:bookmarkStart w:id="881" w:name="_Toc31774"/>
      <w:r>
        <w:rPr>
          <w:rFonts w:hint="eastAsia" w:ascii="宋体" w:hAnsi="宋体"/>
          <w:sz w:val="21"/>
          <w:szCs w:val="21"/>
        </w:rPr>
        <w:t>定标</w:t>
      </w:r>
      <w:bookmarkEnd w:id="765"/>
      <w:bookmarkEnd w:id="766"/>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29.1</w:t>
      </w:r>
      <w:r>
        <w:rPr>
          <w:rFonts w:hint="eastAsia" w:ascii="宋体" w:hAnsi="宋体" w:cs="Arial"/>
        </w:rPr>
        <w:t xml:space="preserve"> 经评审后，评审委员会将</w:t>
      </w:r>
      <w:r>
        <w:rPr>
          <w:rFonts w:ascii="宋体" w:hAnsi="宋体" w:cs="Arial"/>
        </w:rPr>
        <w:t>汇总得分最高的比选申请人推荐为</w:t>
      </w:r>
      <w:r>
        <w:rPr>
          <w:rFonts w:hint="eastAsia" w:ascii="宋体" w:hAnsi="宋体" w:cs="Arial"/>
          <w:lang w:eastAsia="zh-CN"/>
        </w:rPr>
        <w:t>中选</w:t>
      </w:r>
      <w:r>
        <w:rPr>
          <w:rFonts w:ascii="宋体" w:hAnsi="宋体" w:cs="Arial"/>
        </w:rPr>
        <w:t>候选人</w:t>
      </w:r>
      <w:r>
        <w:rPr>
          <w:rFonts w:hint="eastAsia" w:ascii="宋体" w:hAnsi="宋体" w:cs="Arial"/>
        </w:rPr>
        <w:t>。</w:t>
      </w:r>
      <w:r>
        <w:rPr>
          <w:rFonts w:ascii="宋体" w:hAnsi="宋体" w:cs="Arial"/>
        </w:rPr>
        <w:t>得分相同的，商务和技术总得分高者排名优先；商务和技术总得分也相同的，技术分高者排名优先。若技术分仍相同的，</w:t>
      </w:r>
      <w:r>
        <w:rPr>
          <w:rFonts w:hint="eastAsia" w:ascii="宋体" w:hAnsi="宋体" w:cs="Arial"/>
        </w:rPr>
        <w:t>评审委员会</w:t>
      </w:r>
      <w:r>
        <w:rPr>
          <w:rFonts w:ascii="宋体" w:hAnsi="宋体" w:cs="Arial"/>
        </w:rPr>
        <w:t>以记名投票的方式按少数服从多数的原则决定其排名顺序</w:t>
      </w:r>
      <w:r>
        <w:rPr>
          <w:rFonts w:hint="eastAsia" w:ascii="宋体" w:hAnsi="宋体" w:cs="Arial"/>
        </w:rPr>
        <w:t>。</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rPr>
        <w:t>比选</w:t>
      </w:r>
      <w:r>
        <w:rPr>
          <w:rFonts w:hint="eastAsia" w:ascii="宋体" w:hAnsi="宋体" w:cs="Arial"/>
        </w:rPr>
        <w:t>人应当确定排名第一的中选候选人为中选人。排名第一的中选候选人放弃中选、因不可抗力不能履行合同、不按照比选文件要求提交履约保证金，或者被查实存在影响中选结果的违法行为等情形，不符合中选条件的，</w:t>
      </w:r>
      <w:r>
        <w:rPr>
          <w:rFonts w:hint="eastAsia" w:ascii="宋体" w:hAnsi="宋体"/>
        </w:rPr>
        <w:t>比选</w:t>
      </w:r>
      <w:r>
        <w:rPr>
          <w:rFonts w:hint="eastAsia" w:ascii="宋体" w:hAnsi="宋体" w:cs="Arial"/>
        </w:rPr>
        <w:t>人可以按照评审委员会提出的中选候选人名单排序依次确定其他中选候选人为中选人，也可以重新比选。同时，</w:t>
      </w:r>
      <w:r>
        <w:rPr>
          <w:rFonts w:hint="eastAsia" w:ascii="宋体" w:hAnsi="宋体"/>
        </w:rPr>
        <w:t>比选</w:t>
      </w:r>
      <w:r>
        <w:rPr>
          <w:rFonts w:hint="eastAsia" w:ascii="宋体" w:hAnsi="宋体" w:cs="Arial"/>
        </w:rPr>
        <w:t>人有权禁止其1年内不得参与属于</w:t>
      </w:r>
      <w:r>
        <w:rPr>
          <w:rFonts w:hint="eastAsia" w:ascii="宋体" w:hAnsi="宋体"/>
        </w:rPr>
        <w:t>比选</w:t>
      </w:r>
      <w:r>
        <w:rPr>
          <w:rFonts w:hint="eastAsia" w:ascii="宋体" w:hAnsi="宋体" w:cs="Arial"/>
        </w:rPr>
        <w:t>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 xml:space="preserve"> 评审委员会评审结束后，</w:t>
      </w:r>
      <w:r>
        <w:rPr>
          <w:rFonts w:hint="eastAsia" w:ascii="宋体" w:hAnsi="宋体"/>
        </w:rPr>
        <w:t>比选</w:t>
      </w:r>
      <w:r>
        <w:rPr>
          <w:rFonts w:hint="eastAsia" w:ascii="宋体" w:hAnsi="宋体" w:cs="Arial"/>
        </w:rPr>
        <w:t>人经审查发现评审过程中有明显错误，可以组织原评审委员会进行复评。</w:t>
      </w:r>
    </w:p>
    <w:p>
      <w:pPr>
        <w:pStyle w:val="6"/>
        <w:numPr>
          <w:ilvl w:val="0"/>
          <w:numId w:val="5"/>
        </w:numPr>
        <w:spacing w:before="0" w:after="0" w:afterAutospacing="0"/>
        <w:ind w:left="0" w:right="0" w:firstLine="422" w:firstLineChars="200"/>
        <w:rPr>
          <w:rFonts w:ascii="宋体" w:hAnsi="宋体"/>
          <w:sz w:val="21"/>
          <w:szCs w:val="21"/>
        </w:rPr>
      </w:pPr>
      <w:bookmarkStart w:id="882" w:name="_Toc383891203"/>
      <w:bookmarkStart w:id="883" w:name="_Toc18192"/>
      <w:bookmarkStart w:id="884" w:name="_Toc14042"/>
      <w:bookmarkStart w:id="885" w:name="_Toc16732"/>
      <w:bookmarkStart w:id="886" w:name="_Toc5257"/>
      <w:bookmarkStart w:id="887" w:name="_Toc13986"/>
      <w:bookmarkStart w:id="888" w:name="_Toc19634"/>
      <w:bookmarkStart w:id="889" w:name="_Toc3761"/>
      <w:bookmarkStart w:id="890" w:name="_Toc21947"/>
      <w:bookmarkStart w:id="891" w:name="_Toc5172"/>
      <w:bookmarkStart w:id="892" w:name="_Toc492478753"/>
      <w:bookmarkStart w:id="893" w:name="_Toc37"/>
      <w:bookmarkStart w:id="894" w:name="_Toc390098454"/>
      <w:bookmarkStart w:id="895" w:name="_Toc12983538"/>
      <w:bookmarkStart w:id="896" w:name="_Toc385427828"/>
      <w:bookmarkStart w:id="897" w:name="_Toc27664"/>
      <w:bookmarkStart w:id="898" w:name="_Toc21142"/>
      <w:bookmarkStart w:id="899" w:name="_Toc15932"/>
      <w:bookmarkStart w:id="900" w:name="_Toc17823"/>
      <w:bookmarkStart w:id="901" w:name="_Toc26470"/>
      <w:bookmarkStart w:id="902" w:name="_Toc375039095"/>
      <w:bookmarkStart w:id="903" w:name="_Toc1215"/>
      <w:bookmarkStart w:id="904" w:name="_Toc22182"/>
      <w:bookmarkStart w:id="905" w:name="_Toc25750623"/>
      <w:r>
        <w:rPr>
          <w:rFonts w:hint="eastAsia" w:ascii="宋体" w:hAnsi="宋体"/>
          <w:sz w:val="21"/>
          <w:szCs w:val="21"/>
        </w:rPr>
        <w:t>重新</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Fonts w:hint="eastAsia" w:ascii="宋体" w:hAnsi="宋体"/>
          <w:sz w:val="21"/>
          <w:szCs w:val="21"/>
        </w:rPr>
        <w:t>比选</w:t>
      </w:r>
      <w:bookmarkEnd w:id="905"/>
    </w:p>
    <w:p>
      <w:pPr>
        <w:tabs>
          <w:tab w:val="left" w:pos="1134"/>
          <w:tab w:val="left" w:pos="8364"/>
        </w:tabs>
        <w:spacing w:before="0" w:after="0" w:afterAutospacing="0"/>
        <w:ind w:left="0" w:right="0" w:firstLine="420" w:firstLineChars="200"/>
        <w:rPr>
          <w:rFonts w:ascii="宋体" w:hAnsi="宋体"/>
        </w:rPr>
      </w:pPr>
      <w:r>
        <w:rPr>
          <w:rFonts w:hint="eastAsia" w:ascii="宋体" w:hAnsi="宋体" w:cs="Arial"/>
        </w:rPr>
        <w:t xml:space="preserve">30.1 </w:t>
      </w:r>
      <w:r>
        <w:rPr>
          <w:rFonts w:hint="eastAsia" w:ascii="宋体" w:hAnsi="宋体"/>
        </w:rPr>
        <w:t>有下列情形之一的，比选人将重新比选：</w:t>
      </w:r>
    </w:p>
    <w:p>
      <w:pPr>
        <w:tabs>
          <w:tab w:val="left" w:pos="1134"/>
          <w:tab w:val="left" w:pos="8364"/>
        </w:tabs>
        <w:spacing w:before="0" w:after="0" w:afterAutospacing="0"/>
        <w:ind w:left="0" w:right="0" w:firstLine="420" w:firstLineChars="200"/>
        <w:rPr>
          <w:rFonts w:ascii="宋体" w:hAnsi="宋体"/>
        </w:rPr>
      </w:pPr>
      <w:bookmarkStart w:id="906" w:name="_Toc14454"/>
      <w:bookmarkStart w:id="907" w:name="_Toc1116"/>
      <w:bookmarkStart w:id="908" w:name="_Toc385427829"/>
      <w:bookmarkStart w:id="909" w:name="_Toc26919"/>
      <w:bookmarkStart w:id="910" w:name="_Toc11126"/>
      <w:bookmarkStart w:id="911" w:name="_Toc1945"/>
      <w:bookmarkStart w:id="912" w:name="_Toc25257"/>
      <w:bookmarkStart w:id="913" w:name="_Toc31757"/>
      <w:bookmarkStart w:id="914" w:name="_Toc492478754"/>
      <w:bookmarkStart w:id="915" w:name="_Toc383891204"/>
      <w:bookmarkStart w:id="916" w:name="_Toc6886"/>
      <w:bookmarkStart w:id="917" w:name="_Toc17042"/>
      <w:bookmarkStart w:id="918" w:name="_Toc390098455"/>
      <w:bookmarkStart w:id="919" w:name="_Toc14235"/>
      <w:bookmarkStart w:id="920" w:name="_Toc375039096"/>
      <w:bookmarkStart w:id="921" w:name="_Toc3769"/>
      <w:bookmarkStart w:id="922" w:name="_Toc10962"/>
      <w:bookmarkStart w:id="923" w:name="_Toc5959"/>
      <w:bookmarkStart w:id="924" w:name="_Toc20979"/>
      <w:bookmarkStart w:id="925" w:name="_Toc2422"/>
      <w:bookmarkStart w:id="926" w:name="_Toc12983539"/>
      <w:bookmarkStart w:id="927" w:name="_Toc26954"/>
      <w:bookmarkStart w:id="928" w:name="_Toc12031"/>
      <w:bookmarkStart w:id="929" w:name="_Toc25750624"/>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w:t>
      </w:r>
      <w:r>
        <w:rPr>
          <w:rFonts w:hint="eastAsia" w:ascii="宋体" w:hAnsi="宋体"/>
        </w:rPr>
        <w:t>只剩余两家</w:t>
      </w:r>
      <w:r>
        <w:rPr>
          <w:rFonts w:ascii="宋体" w:hAnsi="宋体"/>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30.5</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30.6比选文件中规定的其他情况。</w:t>
      </w:r>
    </w:p>
    <w:p>
      <w:pPr>
        <w:pStyle w:val="6"/>
        <w:numPr>
          <w:ilvl w:val="0"/>
          <w:numId w:val="5"/>
        </w:numPr>
        <w:spacing w:before="0" w:after="0" w:afterAutospacing="0"/>
        <w:ind w:left="0" w:right="0" w:firstLine="422" w:firstLineChars="200"/>
        <w:rPr>
          <w:rFonts w:ascii="宋体" w:hAnsi="宋体"/>
          <w:sz w:val="21"/>
          <w:szCs w:val="21"/>
        </w:rPr>
      </w:pPr>
      <w:r>
        <w:rPr>
          <w:rFonts w:hint="eastAsia" w:ascii="宋体" w:hAnsi="宋体"/>
          <w:sz w:val="21"/>
          <w:szCs w:val="21"/>
        </w:rPr>
        <w:t>不再</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Fonts w:hint="eastAsia" w:ascii="宋体" w:hAnsi="宋体"/>
          <w:sz w:val="21"/>
          <w:szCs w:val="21"/>
        </w:rPr>
        <w:t>比选</w:t>
      </w:r>
      <w:bookmarkEnd w:id="92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项目比选经两次发布信息后比选申请人仍少于三个或重新比选后有效比选申请人仍少于三个或者所有</w:t>
      </w:r>
      <w:r>
        <w:rPr>
          <w:rFonts w:hint="eastAsia" w:ascii="宋体" w:hAnsi="宋体"/>
          <w:lang w:eastAsia="zh-CN"/>
        </w:rPr>
        <w:t>比选申请</w:t>
      </w:r>
      <w:r>
        <w:rPr>
          <w:rFonts w:hint="eastAsia" w:ascii="宋体" w:hAnsi="宋体"/>
        </w:rPr>
        <w:t>被否决的，比选人可不再进行比选，采取直接委托或其他的方式确定中选人。</w:t>
      </w:r>
    </w:p>
    <w:p>
      <w:pPr>
        <w:pStyle w:val="5"/>
        <w:spacing w:after="0" w:afterAutospacing="0" w:line="360" w:lineRule="auto"/>
        <w:ind w:left="0" w:right="0" w:firstLine="482" w:firstLineChars="200"/>
        <w:rPr>
          <w:rFonts w:ascii="宋体" w:hAnsi="宋体" w:eastAsia="宋体"/>
          <w:sz w:val="24"/>
          <w:szCs w:val="24"/>
        </w:rPr>
      </w:pPr>
      <w:bookmarkStart w:id="930" w:name="_Toc24580"/>
      <w:bookmarkStart w:id="931" w:name="_Toc25750625"/>
      <w:bookmarkStart w:id="932" w:name="_Toc383891205"/>
      <w:bookmarkStart w:id="933" w:name="_Toc31958"/>
      <w:bookmarkStart w:id="934" w:name="_Toc13191"/>
      <w:bookmarkStart w:id="935" w:name="_Toc12983540"/>
      <w:bookmarkStart w:id="936" w:name="_Toc19035"/>
      <w:bookmarkStart w:id="937" w:name="_Toc492478755"/>
      <w:bookmarkStart w:id="938" w:name="_Toc385427830"/>
      <w:bookmarkStart w:id="939" w:name="_Toc30278"/>
      <w:bookmarkStart w:id="940" w:name="_Toc21516"/>
      <w:bookmarkStart w:id="941" w:name="_Toc9113"/>
      <w:bookmarkStart w:id="942" w:name="_Toc4743"/>
      <w:bookmarkStart w:id="943" w:name="_Toc25431"/>
      <w:bookmarkStart w:id="944" w:name="_Toc27839"/>
      <w:bookmarkStart w:id="945" w:name="_Toc17498"/>
      <w:bookmarkStart w:id="946" w:name="_Toc8834"/>
      <w:bookmarkStart w:id="947" w:name="_Toc24681"/>
      <w:bookmarkStart w:id="948" w:name="_Toc26653"/>
      <w:bookmarkStart w:id="949" w:name="_Toc19952"/>
      <w:bookmarkStart w:id="950" w:name="_Toc18800"/>
      <w:bookmarkStart w:id="951" w:name="_Toc28497"/>
      <w:bookmarkStart w:id="952" w:name="_Toc11610"/>
      <w:bookmarkStart w:id="953" w:name="_Toc22975"/>
      <w:bookmarkStart w:id="954" w:name="_Toc24934"/>
      <w:bookmarkStart w:id="955" w:name="_Toc6000"/>
      <w:bookmarkStart w:id="956" w:name="_Toc390098456"/>
      <w:bookmarkStart w:id="957" w:name="_Toc375039097"/>
      <w:bookmarkStart w:id="958" w:name="_Toc12421"/>
      <w:bookmarkStart w:id="959" w:name="_Toc2326"/>
      <w:r>
        <w:rPr>
          <w:rFonts w:hint="eastAsia" w:ascii="宋体" w:hAnsi="宋体" w:eastAsia="宋体"/>
          <w:sz w:val="24"/>
          <w:szCs w:val="24"/>
        </w:rPr>
        <w:t>六、</w:t>
      </w:r>
      <w:r>
        <w:rPr>
          <w:rFonts w:ascii="宋体" w:hAnsi="宋体" w:eastAsia="宋体"/>
          <w:sz w:val="24"/>
          <w:szCs w:val="24"/>
        </w:rPr>
        <w:t>授予合同</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6"/>
        <w:spacing w:before="0" w:after="0" w:afterAutospacing="0"/>
        <w:ind w:left="0" w:right="0" w:firstLine="422" w:firstLineChars="200"/>
        <w:rPr>
          <w:rFonts w:ascii="宋体" w:hAnsi="宋体"/>
          <w:sz w:val="21"/>
          <w:szCs w:val="21"/>
        </w:rPr>
      </w:pPr>
      <w:bookmarkStart w:id="960" w:name="_Toc375039098"/>
      <w:bookmarkStart w:id="961" w:name="_Toc21728"/>
      <w:bookmarkStart w:id="962" w:name="_Toc11795"/>
      <w:bookmarkStart w:id="963" w:name="_Toc25750626"/>
      <w:bookmarkStart w:id="964" w:name="_Toc18878"/>
      <w:bookmarkStart w:id="965" w:name="_Toc28661"/>
      <w:bookmarkStart w:id="966" w:name="_Toc26143"/>
      <w:bookmarkStart w:id="967" w:name="_Toc390098457"/>
      <w:bookmarkStart w:id="968" w:name="_Toc12983541"/>
      <w:bookmarkStart w:id="969" w:name="_Toc20642"/>
      <w:bookmarkStart w:id="970" w:name="_Toc22323"/>
      <w:bookmarkStart w:id="971" w:name="_Toc26525"/>
      <w:bookmarkStart w:id="972" w:name="_Toc8938"/>
      <w:bookmarkStart w:id="973" w:name="_Toc13914"/>
      <w:bookmarkStart w:id="974" w:name="_Toc1269"/>
      <w:bookmarkStart w:id="975" w:name="_Toc30743"/>
      <w:bookmarkStart w:id="976" w:name="_Toc31011"/>
      <w:bookmarkStart w:id="977" w:name="_Toc383891206"/>
      <w:bookmarkStart w:id="978" w:name="_Toc385427831"/>
      <w:bookmarkStart w:id="979" w:name="_Toc21975"/>
      <w:bookmarkStart w:id="980" w:name="_Toc492478756"/>
      <w:bookmarkStart w:id="981" w:name="_Toc10522"/>
      <w:bookmarkStart w:id="982" w:name="_Toc22688"/>
      <w:bookmarkStart w:id="983" w:name="_Toc30026"/>
      <w:r>
        <w:rPr>
          <w:rFonts w:hint="eastAsia" w:ascii="宋体" w:hAnsi="宋体"/>
          <w:sz w:val="21"/>
          <w:szCs w:val="21"/>
        </w:rPr>
        <w:t>32.合同授予标准</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w:t>
      </w:r>
      <w:r>
        <w:rPr>
          <w:rFonts w:hint="eastAsia" w:ascii="宋体" w:hAnsi="宋体"/>
        </w:rPr>
        <w:t>比选人</w:t>
      </w:r>
      <w:r>
        <w:rPr>
          <w:rFonts w:ascii="宋体" w:hAnsi="宋体"/>
        </w:rPr>
        <w:t>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如果已中选的比选申请人不能按比选申请文件中承诺的条件履行签约行为，</w:t>
      </w:r>
      <w:r>
        <w:rPr>
          <w:rFonts w:hint="eastAsia" w:ascii="宋体" w:hAnsi="宋体"/>
        </w:rPr>
        <w:t>比选人</w:t>
      </w:r>
      <w:r>
        <w:rPr>
          <w:rFonts w:ascii="宋体" w:hAnsi="宋体"/>
        </w:rPr>
        <w:t>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sz w:val="21"/>
          <w:szCs w:val="21"/>
        </w:rPr>
      </w:pPr>
      <w:bookmarkStart w:id="984" w:name="_Toc24183"/>
      <w:bookmarkStart w:id="985" w:name="_Toc492478757"/>
      <w:bookmarkStart w:id="986" w:name="_Toc377"/>
      <w:bookmarkStart w:id="987" w:name="_Toc25797"/>
      <w:bookmarkStart w:id="988" w:name="_Toc19128"/>
      <w:bookmarkStart w:id="989" w:name="_Toc14301"/>
      <w:bookmarkStart w:id="990" w:name="_Toc17153"/>
      <w:bookmarkStart w:id="991" w:name="_Toc383891207"/>
      <w:bookmarkStart w:id="992" w:name="_Toc13417"/>
      <w:bookmarkStart w:id="993" w:name="_Toc14325"/>
      <w:bookmarkStart w:id="994" w:name="_Toc1873"/>
      <w:bookmarkStart w:id="995" w:name="_Toc17818"/>
      <w:bookmarkStart w:id="996" w:name="_Toc16111"/>
      <w:bookmarkStart w:id="997" w:name="_Toc385427832"/>
      <w:bookmarkStart w:id="998" w:name="_Toc23649"/>
      <w:bookmarkStart w:id="999" w:name="_Toc14832"/>
      <w:bookmarkStart w:id="1000" w:name="_Toc31336"/>
      <w:bookmarkStart w:id="1001" w:name="_Toc390098458"/>
      <w:bookmarkStart w:id="1002" w:name="_Toc18977"/>
      <w:bookmarkStart w:id="1003" w:name="_Toc12983542"/>
      <w:bookmarkStart w:id="1004" w:name="_Toc25750627"/>
      <w:bookmarkStart w:id="1005" w:name="_Toc375039099"/>
      <w:bookmarkStart w:id="1006" w:name="_Toc11913"/>
      <w:bookmarkStart w:id="1007" w:name="_Toc19774"/>
      <w:r>
        <w:rPr>
          <w:rFonts w:hint="eastAsia" w:ascii="宋体" w:hAnsi="宋体"/>
          <w:sz w:val="21"/>
          <w:szCs w:val="21"/>
        </w:rPr>
        <w:t>33.接受和否决任何或所有比选申请的权力</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ascii="宋体" w:hAnsi="宋体"/>
          <w:sz w:val="21"/>
          <w:szCs w:val="21"/>
        </w:rPr>
      </w:pPr>
      <w:bookmarkStart w:id="1008" w:name="_Toc492478758"/>
      <w:bookmarkStart w:id="1009" w:name="_Toc5061"/>
      <w:bookmarkStart w:id="1010" w:name="_Toc2061"/>
      <w:bookmarkStart w:id="1011" w:name="_Toc673"/>
      <w:bookmarkStart w:id="1012" w:name="_Toc13605"/>
      <w:bookmarkStart w:id="1013" w:name="_Toc22657"/>
      <w:bookmarkStart w:id="1014" w:name="_Toc17953"/>
      <w:bookmarkStart w:id="1015" w:name="_Toc25750628"/>
      <w:bookmarkStart w:id="1016" w:name="_Toc12983543"/>
      <w:bookmarkStart w:id="1017" w:name="_Toc13596"/>
      <w:bookmarkStart w:id="1018" w:name="_Toc12065"/>
      <w:bookmarkStart w:id="1019" w:name="_Toc383891208"/>
      <w:bookmarkStart w:id="1020" w:name="_Toc19556"/>
      <w:bookmarkStart w:id="1021" w:name="_Toc921"/>
      <w:bookmarkStart w:id="1022" w:name="_Toc32424"/>
      <w:bookmarkStart w:id="1023" w:name="_Toc10348"/>
      <w:bookmarkStart w:id="1024" w:name="_Toc19943"/>
      <w:bookmarkStart w:id="1025" w:name="_Toc20680"/>
      <w:bookmarkStart w:id="1026" w:name="_Toc21798"/>
      <w:bookmarkStart w:id="1027" w:name="_Toc27683"/>
      <w:bookmarkStart w:id="1028" w:name="_Toc375039100"/>
      <w:bookmarkStart w:id="1029" w:name="_Toc9636"/>
      <w:bookmarkStart w:id="1030" w:name="_Toc385427833"/>
      <w:bookmarkStart w:id="1031" w:name="_Toc390098459"/>
      <w:r>
        <w:rPr>
          <w:rFonts w:hint="eastAsia" w:ascii="宋体" w:hAnsi="宋体"/>
          <w:sz w:val="21"/>
          <w:szCs w:val="21"/>
        </w:rPr>
        <w:t>中选通知书</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w:t>
      </w:r>
      <w:r>
        <w:rPr>
          <w:rFonts w:hint="eastAsia" w:ascii="宋体" w:hAnsi="宋体"/>
        </w:rPr>
        <w:t>比选人</w:t>
      </w:r>
      <w:r>
        <w:rPr>
          <w:rFonts w:ascii="宋体" w:hAnsi="宋体"/>
        </w:rPr>
        <w:t>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pStyle w:val="6"/>
        <w:numPr>
          <w:ilvl w:val="0"/>
          <w:numId w:val="6"/>
        </w:numPr>
        <w:spacing w:before="0" w:after="0" w:afterAutospacing="0"/>
        <w:ind w:left="0" w:right="0" w:firstLine="422" w:firstLineChars="200"/>
        <w:rPr>
          <w:rFonts w:ascii="宋体" w:hAnsi="宋体"/>
          <w:sz w:val="21"/>
          <w:szCs w:val="21"/>
        </w:rPr>
      </w:pPr>
      <w:bookmarkStart w:id="1032" w:name="_Toc24885"/>
      <w:bookmarkStart w:id="1033" w:name="_Toc28815"/>
      <w:bookmarkStart w:id="1034" w:name="_Toc375039101"/>
      <w:bookmarkStart w:id="1035" w:name="_Toc8628"/>
      <w:bookmarkStart w:id="1036" w:name="_Toc18694"/>
      <w:bookmarkStart w:id="1037" w:name="_Toc22442"/>
      <w:bookmarkStart w:id="1038" w:name="_Toc15048"/>
      <w:bookmarkStart w:id="1039" w:name="_Toc21570"/>
      <w:bookmarkStart w:id="1040" w:name="_Toc383891209"/>
      <w:bookmarkStart w:id="1041" w:name="_Toc25750629"/>
      <w:bookmarkStart w:id="1042" w:name="_Toc24240"/>
      <w:bookmarkStart w:id="1043" w:name="_Toc1780"/>
      <w:bookmarkStart w:id="1044" w:name="_Toc25208"/>
      <w:bookmarkStart w:id="1045" w:name="_Toc390098460"/>
      <w:bookmarkStart w:id="1046" w:name="_Toc29993"/>
      <w:bookmarkStart w:id="1047" w:name="_Toc12983544"/>
      <w:bookmarkStart w:id="1048" w:name="_Toc5617"/>
      <w:bookmarkStart w:id="1049" w:name="_Toc30862"/>
      <w:bookmarkStart w:id="1050" w:name="_Toc21217"/>
      <w:bookmarkStart w:id="1051" w:name="_Toc385427834"/>
      <w:bookmarkStart w:id="1052" w:name="_Toc492478759"/>
      <w:bookmarkStart w:id="1053" w:name="_Toc4190"/>
      <w:bookmarkStart w:id="1054" w:name="_Toc1862"/>
      <w:bookmarkStart w:id="1055" w:name="_Toc5767"/>
      <w:r>
        <w:rPr>
          <w:rFonts w:hint="eastAsia" w:ascii="宋体" w:hAnsi="宋体"/>
          <w:sz w:val="21"/>
          <w:szCs w:val="21"/>
        </w:rPr>
        <w:t>签订合同</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w:t>
      </w:r>
      <w:r>
        <w:rPr>
          <w:rFonts w:hint="eastAsia" w:ascii="宋体" w:hAnsi="宋体"/>
        </w:rPr>
        <w:t>比选人</w:t>
      </w:r>
      <w:r>
        <w:rPr>
          <w:rFonts w:ascii="宋体" w:hAnsi="宋体"/>
        </w:rPr>
        <w:t>将有充分理由取消该中选决定。在此情况下，</w:t>
      </w:r>
      <w:r>
        <w:rPr>
          <w:rFonts w:hint="eastAsia" w:ascii="宋体" w:hAnsi="宋体"/>
        </w:rPr>
        <w:t>比选人</w:t>
      </w:r>
      <w:r>
        <w:rPr>
          <w:rFonts w:ascii="宋体" w:hAnsi="宋体"/>
        </w:rPr>
        <w:t>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w:t>
      </w:r>
      <w:r>
        <w:rPr>
          <w:rFonts w:hint="eastAsia" w:ascii="宋体" w:hAnsi="宋体"/>
        </w:rPr>
        <w:t>比选人</w:t>
      </w:r>
      <w:r>
        <w:rPr>
          <w:rFonts w:ascii="宋体" w:hAnsi="宋体"/>
        </w:rPr>
        <w:t>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0" w:firstLine="422" w:firstLineChars="200"/>
        <w:rPr>
          <w:rFonts w:ascii="宋体" w:hAnsi="宋体"/>
          <w:sz w:val="21"/>
          <w:szCs w:val="21"/>
        </w:rPr>
      </w:pPr>
      <w:bookmarkStart w:id="1056" w:name="_Toc20351"/>
      <w:bookmarkStart w:id="1057" w:name="_Toc10399"/>
      <w:bookmarkStart w:id="1058" w:name="_Toc492478761"/>
      <w:bookmarkStart w:id="1059" w:name="_Toc16584"/>
      <w:bookmarkStart w:id="1060" w:name="_Toc383891211"/>
      <w:bookmarkStart w:id="1061" w:name="_Toc11354"/>
      <w:bookmarkStart w:id="1062" w:name="_Toc30169"/>
      <w:bookmarkStart w:id="1063" w:name="_Toc375039103"/>
      <w:bookmarkStart w:id="1064" w:name="_Toc25988"/>
      <w:bookmarkStart w:id="1065" w:name="_Toc24400"/>
      <w:bookmarkStart w:id="1066" w:name="_Toc12983546"/>
      <w:bookmarkStart w:id="1067" w:name="_Toc19122"/>
      <w:bookmarkStart w:id="1068" w:name="_Toc385427836"/>
      <w:bookmarkStart w:id="1069" w:name="_Toc25750631"/>
      <w:bookmarkStart w:id="1070" w:name="_Toc10480"/>
      <w:bookmarkStart w:id="1071" w:name="_Toc21294"/>
      <w:bookmarkStart w:id="1072" w:name="_Toc25990"/>
      <w:bookmarkStart w:id="1073" w:name="_Toc8178"/>
      <w:bookmarkStart w:id="1074" w:name="_Toc390098462"/>
      <w:bookmarkStart w:id="1075" w:name="_Toc23115"/>
      <w:bookmarkStart w:id="1076" w:name="_Toc16212"/>
      <w:bookmarkStart w:id="1077" w:name="_Toc13615"/>
      <w:bookmarkStart w:id="1078" w:name="_Toc26808"/>
      <w:bookmarkStart w:id="1079" w:name="_Toc2637"/>
      <w:r>
        <w:rPr>
          <w:rFonts w:hint="eastAsia" w:ascii="宋体" w:hAnsi="宋体"/>
          <w:sz w:val="21"/>
          <w:szCs w:val="21"/>
        </w:rPr>
        <w:t>其他</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36.1.1 </w:t>
      </w:r>
      <w:r>
        <w:rPr>
          <w:rFonts w:ascii="宋体" w:hAnsi="宋体"/>
        </w:rPr>
        <w:t>比选申请人应保证其拥有服务的知识产权，并保证</w:t>
      </w:r>
      <w:r>
        <w:rPr>
          <w:rFonts w:hint="eastAsia" w:ascii="宋体" w:hAnsi="宋体"/>
        </w:rPr>
        <w:t>比选人</w:t>
      </w:r>
      <w:r>
        <w:rPr>
          <w:rFonts w:ascii="宋体" w:hAnsi="宋体"/>
        </w:rPr>
        <w:t>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36.2.1 </w:t>
      </w:r>
      <w:r>
        <w:rPr>
          <w:rFonts w:ascii="宋体" w:hAnsi="宋体"/>
        </w:rPr>
        <w:t>由</w:t>
      </w:r>
      <w:r>
        <w:rPr>
          <w:rFonts w:hint="eastAsia" w:ascii="宋体" w:hAnsi="宋体"/>
        </w:rPr>
        <w:t>比选人</w:t>
      </w:r>
      <w:r>
        <w:rPr>
          <w:rFonts w:ascii="宋体" w:hAnsi="宋体"/>
        </w:rPr>
        <w:t>向比选申请人提供的比选文件、图纸、详细资料、模型、模件和所有其他资料，被视为保密资料，仅被用于它所规定的用途，除非得到</w:t>
      </w:r>
      <w:r>
        <w:rPr>
          <w:rFonts w:hint="eastAsia" w:ascii="宋体" w:hAnsi="宋体"/>
        </w:rPr>
        <w:t>比选人</w:t>
      </w:r>
      <w:r>
        <w:rPr>
          <w:rFonts w:ascii="宋体" w:hAnsi="宋体"/>
        </w:rPr>
        <w:t>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36.2.2 </w:t>
      </w:r>
      <w:r>
        <w:rPr>
          <w:rFonts w:ascii="宋体" w:hAnsi="宋体"/>
        </w:rPr>
        <w:t>在比选申请文件完成后，应</w:t>
      </w:r>
      <w:r>
        <w:rPr>
          <w:rFonts w:hint="eastAsia" w:ascii="宋体" w:hAnsi="宋体"/>
        </w:rPr>
        <w:t>比选人</w:t>
      </w:r>
      <w:r>
        <w:rPr>
          <w:rFonts w:ascii="宋体" w:hAnsi="宋体"/>
        </w:rPr>
        <w:t>要求，比选申请人应归还所有从</w:t>
      </w:r>
      <w:r>
        <w:rPr>
          <w:rFonts w:hint="eastAsia" w:ascii="宋体" w:hAnsi="宋体"/>
        </w:rPr>
        <w:t>比选人</w:t>
      </w:r>
      <w:r>
        <w:rPr>
          <w:rFonts w:ascii="宋体" w:hAnsi="宋体"/>
        </w:rPr>
        <w:t>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36.3.2 </w:t>
      </w:r>
      <w:r>
        <w:rPr>
          <w:rFonts w:ascii="宋体" w:hAnsi="宋体"/>
        </w:rPr>
        <w:t>如果比选申请人在比选申请过程中有欺诈行为，则</w:t>
      </w:r>
      <w:r>
        <w:rPr>
          <w:rFonts w:hint="eastAsia" w:ascii="宋体" w:hAnsi="宋体"/>
        </w:rPr>
        <w:t>比选人</w:t>
      </w:r>
      <w:r>
        <w:rPr>
          <w:rFonts w:ascii="宋体" w:hAnsi="宋体"/>
        </w:rPr>
        <w:t>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36.4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36.5 需要补充的其他内容：详见比选申请须知前附表。</w:t>
      </w:r>
    </w:p>
    <w:p>
      <w:pPr>
        <w:pStyle w:val="2"/>
        <w:pageBreakBefore/>
        <w:ind w:right="-57" w:firstLine="0"/>
        <w:jc w:val="center"/>
        <w:outlineLvl w:val="0"/>
        <w:rPr>
          <w:rStyle w:val="42"/>
          <w:rFonts w:ascii="宋体" w:hAnsi="宋体" w:eastAsia="宋体"/>
        </w:rPr>
      </w:pPr>
      <w:bookmarkStart w:id="1080" w:name="_Toc31768"/>
      <w:bookmarkStart w:id="1081" w:name="_Toc14991"/>
      <w:bookmarkStart w:id="1082" w:name="_Toc25750632"/>
      <w:bookmarkStart w:id="1083" w:name="_Toc9991"/>
      <w:bookmarkStart w:id="1084" w:name="_Toc25920"/>
      <w:bookmarkStart w:id="1085" w:name="_Toc7547"/>
      <w:bookmarkStart w:id="1086" w:name="_Toc9458"/>
      <w:bookmarkStart w:id="1087" w:name="_Toc1179"/>
      <w:bookmarkStart w:id="1088" w:name="_Toc17300"/>
      <w:bookmarkStart w:id="1089" w:name="_Toc21919"/>
      <w:bookmarkStart w:id="1090" w:name="_Toc13323"/>
      <w:bookmarkStart w:id="1091" w:name="_Toc4003"/>
      <w:bookmarkStart w:id="1092" w:name="_Toc11424"/>
      <w:bookmarkStart w:id="1093" w:name="_Toc1636"/>
      <w:bookmarkStart w:id="1094" w:name="_Toc3750"/>
      <w:bookmarkStart w:id="1095" w:name="_Toc13923"/>
      <w:bookmarkStart w:id="1096" w:name="_Toc12281"/>
      <w:bookmarkStart w:id="1097" w:name="_Toc16431"/>
      <w:bookmarkStart w:id="1098" w:name="_Toc9725"/>
      <w:bookmarkStart w:id="1099" w:name="_Toc15740"/>
      <w:bookmarkStart w:id="1100" w:name="_Toc17022"/>
      <w:bookmarkStart w:id="1101" w:name="_Toc28464"/>
      <w:bookmarkStart w:id="1102" w:name="_Toc23292"/>
      <w:bookmarkStart w:id="1103" w:name="_Toc16340"/>
      <w:r>
        <w:rPr>
          <w:rStyle w:val="42"/>
          <w:rFonts w:hint="eastAsia" w:ascii="宋体" w:hAnsi="宋体" w:eastAsia="宋体"/>
        </w:rPr>
        <w:t>第三章合同条款及格式</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spacing w:before="0"/>
        <w:ind w:right="0" w:firstLine="200"/>
        <w:jc w:val="center"/>
        <w:outlineLvl w:val="1"/>
        <w:rPr>
          <w:rFonts w:ascii="宋体" w:hAnsi="宋体"/>
          <w:b/>
          <w:sz w:val="24"/>
          <w:szCs w:val="24"/>
        </w:rPr>
      </w:pPr>
      <w:bookmarkStart w:id="1104" w:name="_Toc12983547"/>
      <w:bookmarkStart w:id="1105" w:name="_Toc9460"/>
      <w:bookmarkStart w:id="1106" w:name="_Toc6950"/>
      <w:bookmarkStart w:id="1107" w:name="_Toc15840"/>
      <w:bookmarkStart w:id="1108" w:name="_Toc3488"/>
      <w:bookmarkStart w:id="1109" w:name="_Toc25828"/>
      <w:bookmarkStart w:id="1110" w:name="_Toc13968"/>
      <w:bookmarkStart w:id="1111" w:name="_Toc29797"/>
      <w:bookmarkStart w:id="1112" w:name="_Toc6836"/>
      <w:bookmarkStart w:id="1113" w:name="_Toc13761"/>
      <w:bookmarkStart w:id="1114" w:name="_Toc4026"/>
      <w:bookmarkStart w:id="1115" w:name="_Toc7174"/>
      <w:bookmarkStart w:id="1116" w:name="_Toc8999"/>
      <w:bookmarkStart w:id="1117" w:name="_Toc25750633"/>
      <w:bookmarkStart w:id="1118" w:name="_Toc1289"/>
      <w:bookmarkStart w:id="1119" w:name="_Toc14463"/>
      <w:bookmarkStart w:id="1120" w:name="_Toc7236"/>
      <w:bookmarkStart w:id="1121" w:name="_Toc31368"/>
      <w:bookmarkStart w:id="1122" w:name="_Toc20060"/>
      <w:bookmarkStart w:id="1123" w:name="_Toc3642"/>
      <w:bookmarkStart w:id="1124" w:name="_Toc32403"/>
      <w:bookmarkStart w:id="1125" w:name="_Toc7624"/>
      <w:bookmarkStart w:id="1126" w:name="_Toc7587"/>
      <w:bookmarkStart w:id="1127" w:name="_Toc2618"/>
      <w:bookmarkStart w:id="1128" w:name="_Toc6190"/>
      <w:r>
        <w:rPr>
          <w:rFonts w:hint="eastAsia" w:ascii="宋体" w:hAnsi="宋体"/>
          <w:b/>
          <w:sz w:val="24"/>
          <w:szCs w:val="24"/>
        </w:rPr>
        <w:t>一、合同协议书</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spacing w:before="0" w:after="0" w:afterAutospacing="0"/>
        <w:ind w:left="0" w:right="0" w:firstLine="420" w:firstLineChars="200"/>
        <w:jc w:val="left"/>
        <w:rPr>
          <w:rFonts w:ascii="宋体" w:hAnsi="宋体"/>
          <w:u w:val="single"/>
        </w:rPr>
      </w:pPr>
      <w:r>
        <w:rPr>
          <w:rFonts w:hint="eastAsia" w:ascii="宋体" w:hAnsi="宋体"/>
        </w:rPr>
        <w:t>甲方：南宁轨道交通运营有限公司</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rPr>
          <w:rFonts w:ascii="宋体" w:hAnsi="宋体"/>
        </w:rPr>
      </w:pPr>
      <w:r>
        <w:rPr>
          <w:rFonts w:hint="eastAsia" w:ascii="宋体" w:hAnsi="宋体"/>
        </w:rPr>
        <w:t xml:space="preserve">本协议由南宁轨道交通运营有限公司（下称“甲方”或业主）与 </w:t>
      </w:r>
      <w:r>
        <w:rPr>
          <w:rFonts w:hint="eastAsia" w:ascii="宋体" w:hAnsi="宋体"/>
          <w:u w:val="single"/>
        </w:rPr>
        <w:t xml:space="preserve">        </w:t>
      </w:r>
      <w:r>
        <w:rPr>
          <w:rFonts w:hint="eastAsia" w:ascii="宋体" w:hAnsi="宋体"/>
        </w:rPr>
        <w:t>（下称“乙方”），双方根据</w:t>
      </w:r>
      <w:r>
        <w:rPr>
          <w:rFonts w:hint="eastAsia" w:ascii="宋体" w:hAnsi="宋体"/>
          <w:u w:val="single"/>
          <w:lang w:eastAsia="zh-CN"/>
        </w:rPr>
        <w:t>南宁轨道交通2号线电客车转向架橡胶件委外检测项目（2022年-2023年）（重2）</w:t>
      </w:r>
      <w:r>
        <w:rPr>
          <w:rFonts w:hint="eastAsia" w:ascii="宋体" w:hAnsi="宋体"/>
        </w:rPr>
        <w:t>（项目编号：</w:t>
      </w:r>
      <w:r>
        <w:rPr>
          <w:rFonts w:ascii="宋体" w:hAnsi="宋体"/>
          <w:u w:val="single"/>
        </w:rPr>
        <w:t>202211080002</w:t>
      </w:r>
      <w:r>
        <w:rPr>
          <w:rFonts w:hint="eastAsia" w:ascii="宋体" w:hAnsi="宋体"/>
          <w:u w:val="single"/>
          <w:lang w:eastAsia="zh-CN"/>
        </w:rPr>
        <w:t>（重2）</w:t>
      </w:r>
      <w:r>
        <w:rPr>
          <w:rFonts w:hint="eastAsia" w:ascii="宋体" w:hAnsi="宋体"/>
        </w:rPr>
        <w:t>）比选结果，依据《中华人民共和国民法典》的规定，签订协议。具体内容如下：</w:t>
      </w:r>
    </w:p>
    <w:p>
      <w:pPr>
        <w:spacing w:before="0" w:after="0" w:afterAutospacing="0"/>
        <w:ind w:left="0" w:right="0" w:firstLine="420" w:firstLineChars="200"/>
        <w:rPr>
          <w:rFonts w:ascii="宋体" w:hAnsi="宋体" w:cs="Arial"/>
        </w:rPr>
      </w:pPr>
      <w:r>
        <w:rPr>
          <w:rFonts w:hint="eastAsia" w:ascii="宋体" w:hAnsi="宋体" w:cs="Arial"/>
        </w:rPr>
        <w:t>1.项目概况</w:t>
      </w:r>
    </w:p>
    <w:p>
      <w:pPr>
        <w:spacing w:before="0" w:after="0" w:afterAutospacing="0"/>
        <w:ind w:left="0" w:right="0" w:firstLine="420" w:firstLineChars="200"/>
        <w:rPr>
          <w:rFonts w:hint="eastAsia" w:ascii="宋体" w:hAnsi="宋体" w:eastAsia="宋体"/>
          <w:lang w:eastAsia="zh-CN"/>
        </w:rPr>
      </w:pPr>
      <w:r>
        <w:rPr>
          <w:rFonts w:hint="eastAsia" w:ascii="宋体" w:hAnsi="宋体"/>
        </w:rPr>
        <w:t>1.1 项目名称：</w:t>
      </w:r>
      <w:r>
        <w:rPr>
          <w:rFonts w:hint="eastAsia" w:ascii="宋体" w:hAnsi="宋体"/>
          <w:lang w:eastAsia="zh-CN"/>
        </w:rPr>
        <w:t>南宁轨道交通2号线电客车转向架橡胶件委外检测项目（2022年-2023年）（重2）</w:t>
      </w:r>
    </w:p>
    <w:p>
      <w:pPr>
        <w:spacing w:before="0" w:after="0" w:afterAutospacing="0"/>
        <w:ind w:left="0" w:right="0" w:firstLine="420" w:firstLineChars="200"/>
        <w:rPr>
          <w:rFonts w:ascii="宋体" w:hAnsi="宋体"/>
        </w:rPr>
      </w:pPr>
      <w:r>
        <w:rPr>
          <w:rFonts w:hint="eastAsia" w:ascii="宋体" w:hAnsi="宋体"/>
        </w:rPr>
        <w:t>1.2 项目实施地点：</w:t>
      </w:r>
      <w:r>
        <w:rPr>
          <w:rFonts w:hint="eastAsia" w:ascii="宋体" w:hAnsi="宋体" w:cs="宋体"/>
          <w:color w:val="000000"/>
          <w:lang w:bidi="ar"/>
        </w:rPr>
        <w:t>乙方正常开展项目工作的地点</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1.3 项目范围：针对</w:t>
      </w:r>
      <w:r>
        <w:rPr>
          <w:rFonts w:hint="eastAsia" w:ascii="宋体" w:hAnsi="宋体" w:cs="宋体"/>
          <w:color w:val="000000"/>
          <w:lang w:bidi="ar"/>
        </w:rPr>
        <w:t>电客车轴箱转臂定位橡胶关节、牵引拉杆橡胶关节、一系橡胶垫三类部件进行检测与寿命评估，每类部件包含新件样品1件和使用5年以上的样品3件，共计12件样品</w:t>
      </w:r>
      <w:r>
        <w:rPr>
          <w:rFonts w:hint="eastAsia" w:ascii="宋体" w:hAnsi="宋体"/>
        </w:rPr>
        <w:t>，具体详见技术规格书。</w:t>
      </w:r>
    </w:p>
    <w:p>
      <w:pPr>
        <w:spacing w:before="0" w:after="0" w:afterAutospacing="0"/>
        <w:ind w:left="0" w:right="0" w:firstLine="420" w:firstLineChars="200"/>
        <w:rPr>
          <w:rFonts w:ascii="宋体" w:hAnsi="宋体" w:cs="Arial"/>
        </w:rPr>
      </w:pPr>
      <w:r>
        <w:rPr>
          <w:rFonts w:hint="eastAsia" w:ascii="宋体" w:hAnsi="宋体" w:cs="Arial"/>
        </w:rPr>
        <w:t>2.合同标的</w:t>
      </w:r>
    </w:p>
    <w:p>
      <w:pPr>
        <w:spacing w:before="0" w:after="0" w:afterAutospacing="0"/>
        <w:ind w:left="0" w:right="0" w:firstLine="420" w:firstLineChars="200"/>
        <w:rPr>
          <w:rFonts w:ascii="宋体" w:hAnsi="宋体" w:cs="Arial"/>
        </w:rPr>
      </w:pPr>
      <w:r>
        <w:rPr>
          <w:rFonts w:hint="eastAsia" w:ascii="宋体" w:hAnsi="宋体" w:cs="Arial"/>
        </w:rPr>
        <w:t>甲方同意接受，乙方同意作为中选方并以下列第3条所述价格提供</w:t>
      </w:r>
      <w:r>
        <w:rPr>
          <w:rFonts w:hint="eastAsia" w:ascii="宋体" w:hAnsi="宋体"/>
          <w:lang w:eastAsia="zh-CN"/>
        </w:rPr>
        <w:t>南宁轨道交通2号线电客车转向架橡胶件委外检测项目（2022年-2023年）（重2）</w:t>
      </w:r>
      <w:r>
        <w:rPr>
          <w:rFonts w:hint="eastAsia" w:ascii="宋体" w:hAnsi="宋体" w:cs="Arial"/>
        </w:rPr>
        <w:t>下的</w:t>
      </w:r>
      <w:r>
        <w:rPr>
          <w:rFonts w:hint="eastAsia" w:ascii="宋体" w:hAnsi="宋体"/>
        </w:rPr>
        <w:t>电客车转向架橡胶件检测服务</w:t>
      </w:r>
      <w:r>
        <w:rPr>
          <w:rFonts w:hint="eastAsia" w:ascii="宋体" w:hAnsi="宋体" w:cs="Arial"/>
        </w:rPr>
        <w:t>（包括但不限于评估部件性能指标是否满足服役要求，</w:t>
      </w:r>
      <w:r>
        <w:rPr>
          <w:rFonts w:hint="eastAsia" w:ascii="宋体" w:hAnsi="宋体" w:cs="宋体"/>
          <w:color w:val="000000"/>
          <w:lang w:bidi="ar"/>
        </w:rPr>
        <w:t>评估部件薄弱环节和剩余寿命，包括主要失效模式，提供后续维修建议及相关报告等</w:t>
      </w:r>
      <w:r>
        <w:rPr>
          <w:rFonts w:hint="eastAsia" w:ascii="宋体" w:hAnsi="宋体" w:cs="Arial"/>
        </w:rPr>
        <w:t>）。</w:t>
      </w:r>
    </w:p>
    <w:p>
      <w:pPr>
        <w:spacing w:before="0" w:after="0" w:afterAutospacing="0"/>
        <w:ind w:left="0" w:right="0" w:firstLine="420" w:firstLineChars="200"/>
        <w:rPr>
          <w:rFonts w:ascii="宋体" w:hAnsi="宋体" w:cs="Arial"/>
        </w:rPr>
      </w:pPr>
      <w:r>
        <w:rPr>
          <w:rFonts w:hint="eastAsia" w:ascii="宋体" w:hAnsi="宋体" w:cs="Arial"/>
        </w:rPr>
        <w:t>3.合同价格</w:t>
      </w:r>
    </w:p>
    <w:p>
      <w:pPr>
        <w:pStyle w:val="9"/>
        <w:ind w:left="0" w:firstLine="420" w:firstLineChars="200"/>
        <w:rPr>
          <w:rFonts w:ascii="宋体" w:hAnsi="宋体"/>
          <w:b/>
          <w:bCs/>
        </w:rPr>
      </w:pPr>
      <w:r>
        <w:rPr>
          <w:rFonts w:hint="eastAsia" w:ascii="宋体" w:hAnsi="宋体" w:cs="Arial"/>
        </w:rPr>
        <w:t>本项目合同价格为：</w:t>
      </w:r>
      <w:r>
        <w:rPr>
          <w:rFonts w:hint="eastAsia" w:ascii="宋体" w:hAnsi="宋体"/>
        </w:rPr>
        <w:t>不含增值税价：人民币</w:t>
      </w:r>
      <w:r>
        <w:rPr>
          <w:rFonts w:hint="eastAsia" w:ascii="宋体" w:hAnsi="宋体"/>
          <w:u w:val="single"/>
        </w:rPr>
        <w:t xml:space="preserve">       (¥  )</w:t>
      </w:r>
      <w:r>
        <w:rPr>
          <w:rFonts w:hint="eastAsia" w:ascii="宋体" w:hAnsi="宋体"/>
        </w:rPr>
        <w:t>；增值税税率</w:t>
      </w:r>
      <w:r>
        <w:rPr>
          <w:rFonts w:hint="eastAsia" w:ascii="宋体" w:hAnsi="宋体"/>
          <w:u w:val="single"/>
        </w:rPr>
        <w:t>： %</w:t>
      </w:r>
      <w:r>
        <w:rPr>
          <w:rFonts w:hint="eastAsia" w:ascii="宋体" w:hAnsi="宋体"/>
        </w:rPr>
        <w:t>；增值税额：人民币</w:t>
      </w:r>
      <w:r>
        <w:rPr>
          <w:rFonts w:hint="eastAsia" w:ascii="宋体" w:hAnsi="宋体"/>
          <w:u w:val="single"/>
        </w:rPr>
        <w:t xml:space="preserve">       (¥  )</w:t>
      </w:r>
      <w:r>
        <w:rPr>
          <w:rFonts w:hint="eastAsia" w:ascii="宋体" w:hAnsi="宋体"/>
        </w:rPr>
        <w:t>；含税总价：人民币</w:t>
      </w:r>
      <w:r>
        <w:rPr>
          <w:rFonts w:hint="eastAsia" w:ascii="宋体" w:hAnsi="宋体"/>
          <w:u w:val="single"/>
        </w:rPr>
        <w:t xml:space="preserve">       (¥  )</w:t>
      </w:r>
      <w:r>
        <w:rPr>
          <w:rFonts w:ascii="宋体" w:hAnsi="宋体"/>
        </w:rPr>
        <w:t>，</w:t>
      </w:r>
      <w:r>
        <w:rPr>
          <w:rFonts w:hint="eastAsia" w:ascii="宋体" w:hAnsi="宋体" w:cs="Arial"/>
        </w:rPr>
        <w:t>（下文称“合同价格”)。本合同价格为暂定价，</w:t>
      </w:r>
      <w:r>
        <w:rPr>
          <w:rFonts w:hint="eastAsia" w:ascii="宋体" w:hAnsi="宋体" w:cs="Arial"/>
          <w:b/>
          <w:bCs/>
        </w:rPr>
        <w:t>在合同履约过程中，本合同税率将遵照国家现行税法执行。</w:t>
      </w:r>
      <w:r>
        <w:rPr>
          <w:rFonts w:hint="eastAsia" w:ascii="宋体" w:hAnsi="宋体"/>
          <w:b/>
        </w:rPr>
        <w:t>在签订本项目合同时，遵循国家现行税法的相关规定在中选人不含增值税单价的基础上逐项增加增值税额，并明确相应增值税税率和增值税额，含税价格计算保留小数点后两位，含税合价为单价与数量的乘积，合同总价为分项合价之和。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4.本合同由下列文件构成：</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（5）技术规格书；</w:t>
      </w:r>
    </w:p>
    <w:p>
      <w:pPr>
        <w:spacing w:before="0" w:after="0" w:afterAutospacing="0"/>
        <w:ind w:left="0" w:right="0" w:firstLine="420" w:firstLineChars="200"/>
        <w:rPr>
          <w:rFonts w:ascii="宋体" w:hAnsi="宋体"/>
        </w:rPr>
      </w:pPr>
      <w:r>
        <w:rPr>
          <w:rFonts w:hint="eastAsia" w:ascii="宋体" w:hAnsi="宋体"/>
        </w:rPr>
        <w:t>（6）比选文件（含比选补遗文件）；</w:t>
      </w:r>
    </w:p>
    <w:p>
      <w:pPr>
        <w:spacing w:before="0" w:after="0" w:afterAutospacing="0"/>
        <w:ind w:left="0" w:right="0" w:firstLine="420" w:firstLineChars="200"/>
        <w:rPr>
          <w:rFonts w:ascii="宋体" w:hAnsi="宋体"/>
        </w:rPr>
      </w:pPr>
      <w:r>
        <w:rPr>
          <w:rFonts w:hint="eastAsia" w:ascii="宋体" w:hAnsi="宋体"/>
        </w:rPr>
        <w:t>（7）比选申请文件（含比选申请文件的补充文件）。</w:t>
      </w:r>
    </w:p>
    <w:p>
      <w:pPr>
        <w:spacing w:before="0" w:after="0" w:afterAutospacing="0"/>
        <w:ind w:left="0" w:right="0" w:firstLine="420" w:firstLineChars="200"/>
        <w:rPr>
          <w:rFonts w:ascii="宋体" w:hAnsi="宋体" w:cs="Arial"/>
        </w:rPr>
      </w:pPr>
      <w:r>
        <w:rPr>
          <w:rFonts w:hint="eastAsia" w:ascii="宋体" w:hAnsi="宋体" w:cs="Arial"/>
        </w:rPr>
        <w:t>5.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规格书的规定有差异时，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6.考虑到甲方将按照本合同向乙方支付，乙方在此保证全部按照合同的规定向甲方提供服务。双方依据本次比选文件中的</w:t>
      </w:r>
      <w:r>
        <w:rPr>
          <w:rFonts w:hint="eastAsia"/>
        </w:rPr>
        <w:t>用户需求书</w:t>
      </w:r>
      <w:r>
        <w:rPr>
          <w:rFonts w:hint="eastAsia" w:ascii="宋体" w:hAnsi="宋体" w:cs="Arial"/>
        </w:rPr>
        <w:t>及乙方比选申请文件（如技术响应表、技术文件等），按照二者较优值形成技术规格书，并经双方确认后构成本合同的有效组成部分。在本合同执行中（的系统技术指标）以技术规格书为准。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7.甲方在此保证按照合同规定的时间和方式向乙方支付合同价格或其他按合同规定应支付的金额。</w:t>
      </w:r>
    </w:p>
    <w:p>
      <w:pPr>
        <w:spacing w:before="0" w:after="0" w:afterAutospacing="0"/>
        <w:ind w:left="0" w:right="0" w:firstLine="420" w:firstLineChars="200"/>
        <w:rPr>
          <w:rFonts w:ascii="宋体" w:hAnsi="宋体" w:cs="Arial"/>
        </w:rPr>
      </w:pPr>
      <w:r>
        <w:rPr>
          <w:rFonts w:hint="eastAsia" w:ascii="宋体" w:hAnsi="宋体"/>
        </w:rPr>
        <w:t>8.甲乙双方承诺，遵守合同条款关于合同标的、数量质量、合同价格、进度计划等双方各自义务及关于违约责任与索赔、解决争议方式等各项约定。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6 </w:t>
      </w:r>
      <w:r>
        <w:rPr>
          <w:rFonts w:hint="eastAsia" w:ascii="宋体" w:hAnsi="宋体" w:cs="Arial"/>
        </w:rPr>
        <w:t>份，乙方持</w:t>
      </w:r>
      <w:r>
        <w:rPr>
          <w:rFonts w:hint="eastAsia" w:ascii="宋体" w:hAnsi="宋体" w:cs="Arial"/>
          <w:u w:val="single"/>
        </w:rPr>
        <w:t xml:space="preserve"> 2 </w:t>
      </w:r>
      <w:r>
        <w:rPr>
          <w:rFonts w:hint="eastAsia" w:ascii="宋体" w:hAnsi="宋体" w:cs="Arial"/>
        </w:rPr>
        <w:t>份。</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p>
      <w:pPr>
        <w:spacing w:before="0" w:after="0"/>
        <w:ind w:right="0" w:firstLine="200"/>
        <w:rPr>
          <w:rFonts w:ascii="宋体" w:hAnsi="宋体" w:cs="Arial"/>
        </w:rPr>
      </w:pPr>
    </w:p>
    <w:tbl>
      <w:tblPr>
        <w:tblStyle w:val="28"/>
        <w:tblW w:w="8522" w:type="dxa"/>
        <w:jc w:val="center"/>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jc w:val="center"/>
        </w:trPr>
        <w:tc>
          <w:tcPr>
            <w:tcW w:w="4261" w:type="dxa"/>
          </w:tcPr>
          <w:p>
            <w:pPr>
              <w:pStyle w:val="2"/>
              <w:spacing w:before="0" w:after="0" w:line="240" w:lineRule="auto"/>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南宁轨道交通运营有限公司</w:t>
            </w:r>
          </w:p>
          <w:p>
            <w:pPr>
              <w:pStyle w:val="2"/>
              <w:spacing w:before="0" w:after="0" w:line="240" w:lineRule="auto"/>
              <w:ind w:right="0"/>
              <w:rPr>
                <w:rFonts w:hAnsi="宋体" w:cs="Courier New"/>
                <w:sz w:val="21"/>
                <w:szCs w:val="21"/>
                <w:u w:val="single"/>
              </w:rPr>
            </w:pPr>
            <w:r>
              <w:rPr>
                <w:rFonts w:hint="eastAsia" w:hAnsi="宋体" w:cs="Courier New"/>
                <w:sz w:val="21"/>
                <w:szCs w:val="21"/>
              </w:rPr>
              <w:t>法定代表人或授权人：</w:t>
            </w:r>
          </w:p>
          <w:p>
            <w:pPr>
              <w:pStyle w:val="2"/>
              <w:spacing w:before="0" w:after="0" w:line="240" w:lineRule="auto"/>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广西南宁市青秀区云景路83号</w:t>
            </w:r>
          </w:p>
          <w:p>
            <w:pPr>
              <w:pStyle w:val="2"/>
              <w:spacing w:before="0" w:after="0" w:line="240" w:lineRule="auto"/>
              <w:ind w:right="0"/>
              <w:rPr>
                <w:rFonts w:hAnsi="宋体" w:cs="Courier New"/>
                <w:sz w:val="21"/>
                <w:szCs w:val="21"/>
              </w:rPr>
            </w:pPr>
            <w:r>
              <w:rPr>
                <w:rFonts w:hint="eastAsia" w:hAnsi="宋体" w:cs="Courier New"/>
                <w:sz w:val="21"/>
                <w:szCs w:val="21"/>
              </w:rPr>
              <w:t>邮政编码：</w:t>
            </w:r>
          </w:p>
          <w:p>
            <w:pPr>
              <w:pStyle w:val="2"/>
              <w:spacing w:before="0" w:after="0" w:line="240" w:lineRule="auto"/>
              <w:ind w:right="0"/>
              <w:rPr>
                <w:rFonts w:hAnsi="宋体" w:cs="Courier New"/>
                <w:sz w:val="21"/>
                <w:szCs w:val="21"/>
              </w:rPr>
            </w:pPr>
            <w:r>
              <w:rPr>
                <w:rFonts w:hint="eastAsia" w:hAnsi="宋体" w:cs="Courier New"/>
                <w:sz w:val="21"/>
                <w:szCs w:val="21"/>
              </w:rPr>
              <w:t>联系人：</w:t>
            </w:r>
          </w:p>
          <w:p>
            <w:pPr>
              <w:pStyle w:val="2"/>
              <w:spacing w:before="0" w:after="0" w:line="240" w:lineRule="auto"/>
              <w:ind w:right="0"/>
              <w:rPr>
                <w:rFonts w:hAnsi="宋体" w:cs="Courier New"/>
                <w:sz w:val="21"/>
                <w:szCs w:val="21"/>
                <w:u w:val="single"/>
              </w:rPr>
            </w:pPr>
            <w:r>
              <w:rPr>
                <w:rFonts w:hint="eastAsia" w:hAnsi="宋体" w:cs="Courier New"/>
                <w:sz w:val="21"/>
                <w:szCs w:val="21"/>
              </w:rPr>
              <w:t>联系电话：</w:t>
            </w:r>
          </w:p>
          <w:p>
            <w:pPr>
              <w:pStyle w:val="2"/>
              <w:spacing w:before="0" w:after="0" w:line="240" w:lineRule="auto"/>
              <w:ind w:right="0"/>
              <w:rPr>
                <w:rFonts w:hAnsi="宋体" w:cs="Courier New"/>
                <w:sz w:val="21"/>
                <w:szCs w:val="21"/>
                <w:u w:val="single"/>
              </w:rPr>
            </w:pPr>
            <w:r>
              <w:rPr>
                <w:rFonts w:hint="eastAsia" w:hAnsi="宋体" w:cs="Courier New"/>
                <w:sz w:val="21"/>
                <w:szCs w:val="21"/>
              </w:rPr>
              <w:t>传真：</w:t>
            </w:r>
          </w:p>
          <w:p>
            <w:pPr>
              <w:pStyle w:val="2"/>
              <w:spacing w:before="0" w:after="0" w:line="240" w:lineRule="auto"/>
              <w:ind w:right="0"/>
              <w:rPr>
                <w:rFonts w:hAnsi="宋体" w:cs="Courier New"/>
                <w:sz w:val="21"/>
                <w:szCs w:val="21"/>
              </w:rPr>
            </w:pPr>
            <w:r>
              <w:rPr>
                <w:rFonts w:hint="eastAsia" w:hAnsi="宋体" w:cs="Courier New"/>
                <w:sz w:val="21"/>
                <w:szCs w:val="21"/>
              </w:rPr>
              <w:t>开户银行：</w:t>
            </w:r>
          </w:p>
          <w:p>
            <w:pPr>
              <w:pStyle w:val="2"/>
              <w:spacing w:before="0" w:after="0" w:line="240" w:lineRule="auto"/>
              <w:ind w:right="0"/>
              <w:rPr>
                <w:rFonts w:hAnsi="宋体" w:cs="Courier New"/>
                <w:sz w:val="21"/>
                <w:szCs w:val="21"/>
              </w:rPr>
            </w:pPr>
            <w:r>
              <w:rPr>
                <w:rFonts w:hint="eastAsia" w:hAnsi="宋体" w:cs="Courier New"/>
                <w:sz w:val="21"/>
                <w:szCs w:val="21"/>
              </w:rPr>
              <w:t>纳税人识别号：</w:t>
            </w:r>
          </w:p>
        </w:tc>
        <w:tc>
          <w:tcPr>
            <w:tcW w:w="4261" w:type="dxa"/>
          </w:tcPr>
          <w:p>
            <w:pPr>
              <w:pStyle w:val="2"/>
              <w:spacing w:before="0" w:after="0" w:line="240" w:lineRule="auto"/>
              <w:ind w:right="0"/>
              <w:rPr>
                <w:rFonts w:hAnsi="宋体" w:cs="Courier New"/>
                <w:sz w:val="21"/>
                <w:szCs w:val="21"/>
                <w:u w:val="single"/>
              </w:rPr>
            </w:pPr>
            <w:r>
              <w:rPr>
                <w:rFonts w:hint="eastAsia" w:hAnsi="宋体" w:cs="Courier New"/>
                <w:sz w:val="21"/>
                <w:szCs w:val="21"/>
              </w:rPr>
              <w:t>乙方：</w:t>
            </w:r>
          </w:p>
          <w:p>
            <w:pPr>
              <w:pStyle w:val="2"/>
              <w:spacing w:before="0" w:after="0" w:line="240" w:lineRule="auto"/>
              <w:ind w:right="0"/>
              <w:rPr>
                <w:rFonts w:hAnsi="宋体" w:cs="Courier New"/>
                <w:sz w:val="21"/>
                <w:szCs w:val="21"/>
                <w:u w:val="single"/>
              </w:rPr>
            </w:pPr>
            <w:r>
              <w:rPr>
                <w:rFonts w:hint="eastAsia" w:hAnsi="宋体" w:cs="Courier New"/>
                <w:sz w:val="21"/>
                <w:szCs w:val="21"/>
              </w:rPr>
              <w:t>法定代表人或授权人：</w:t>
            </w:r>
          </w:p>
          <w:p>
            <w:pPr>
              <w:pStyle w:val="2"/>
              <w:spacing w:before="0" w:after="0" w:line="240" w:lineRule="auto"/>
              <w:ind w:right="0"/>
              <w:rPr>
                <w:rFonts w:hAnsi="宋体" w:cs="Courier New"/>
                <w:sz w:val="21"/>
                <w:szCs w:val="21"/>
                <w:u w:val="single"/>
              </w:rPr>
            </w:pPr>
            <w:r>
              <w:rPr>
                <w:rFonts w:hint="eastAsia" w:hAnsi="宋体" w:cs="Courier New"/>
                <w:sz w:val="21"/>
                <w:szCs w:val="21"/>
              </w:rPr>
              <w:t>地址：</w:t>
            </w:r>
          </w:p>
          <w:p>
            <w:pPr>
              <w:pStyle w:val="2"/>
              <w:spacing w:before="0" w:after="0" w:line="240" w:lineRule="auto"/>
              <w:ind w:right="0"/>
              <w:rPr>
                <w:rFonts w:hAnsi="宋体" w:cs="Courier New"/>
                <w:sz w:val="21"/>
                <w:szCs w:val="21"/>
              </w:rPr>
            </w:pPr>
            <w:r>
              <w:rPr>
                <w:rFonts w:hint="eastAsia" w:hAnsi="宋体" w:cs="Courier New"/>
                <w:sz w:val="21"/>
                <w:szCs w:val="21"/>
              </w:rPr>
              <w:t>邮政编码：</w:t>
            </w:r>
          </w:p>
          <w:p>
            <w:pPr>
              <w:pStyle w:val="2"/>
              <w:spacing w:before="0" w:after="0" w:line="240" w:lineRule="auto"/>
              <w:ind w:right="0"/>
              <w:rPr>
                <w:rFonts w:hAnsi="宋体" w:cs="Courier New"/>
                <w:sz w:val="21"/>
                <w:szCs w:val="21"/>
              </w:rPr>
            </w:pPr>
            <w:r>
              <w:rPr>
                <w:rFonts w:hint="eastAsia" w:hAnsi="宋体" w:cs="Courier New"/>
                <w:sz w:val="21"/>
                <w:szCs w:val="21"/>
              </w:rPr>
              <w:t>联系人：</w:t>
            </w:r>
          </w:p>
          <w:p>
            <w:pPr>
              <w:pStyle w:val="2"/>
              <w:spacing w:before="0" w:after="0" w:line="240" w:lineRule="auto"/>
              <w:ind w:right="0"/>
              <w:rPr>
                <w:rFonts w:hAnsi="宋体" w:cs="Courier New"/>
                <w:sz w:val="21"/>
                <w:szCs w:val="21"/>
                <w:u w:val="single"/>
              </w:rPr>
            </w:pPr>
            <w:r>
              <w:rPr>
                <w:rFonts w:hint="eastAsia" w:hAnsi="宋体" w:cs="Courier New"/>
                <w:sz w:val="21"/>
                <w:szCs w:val="21"/>
              </w:rPr>
              <w:t>联系电话：</w:t>
            </w:r>
          </w:p>
          <w:p>
            <w:pPr>
              <w:pStyle w:val="2"/>
              <w:spacing w:before="0" w:after="0" w:line="240" w:lineRule="auto"/>
              <w:ind w:right="0"/>
              <w:rPr>
                <w:rFonts w:hAnsi="宋体" w:cs="Courier New"/>
                <w:sz w:val="21"/>
                <w:szCs w:val="21"/>
                <w:u w:val="single"/>
              </w:rPr>
            </w:pPr>
            <w:r>
              <w:rPr>
                <w:rFonts w:hint="eastAsia" w:hAnsi="宋体" w:cs="Courier New"/>
                <w:sz w:val="21"/>
                <w:szCs w:val="21"/>
              </w:rPr>
              <w:t>传真：</w:t>
            </w:r>
          </w:p>
          <w:p>
            <w:pPr>
              <w:pStyle w:val="2"/>
              <w:spacing w:before="0" w:after="0" w:line="240" w:lineRule="auto"/>
              <w:ind w:right="0"/>
              <w:rPr>
                <w:rFonts w:hAnsi="宋体" w:cs="Courier New"/>
                <w:sz w:val="21"/>
                <w:szCs w:val="21"/>
                <w:u w:val="single"/>
              </w:rPr>
            </w:pPr>
            <w:r>
              <w:rPr>
                <w:rFonts w:hint="eastAsia" w:hAnsi="宋体" w:cs="Courier New"/>
                <w:sz w:val="21"/>
                <w:szCs w:val="21"/>
              </w:rPr>
              <w:t>开户银行：</w:t>
            </w:r>
          </w:p>
          <w:p>
            <w:pPr>
              <w:pStyle w:val="2"/>
              <w:spacing w:before="0" w:after="0" w:line="240" w:lineRule="auto"/>
              <w:ind w:left="708" w:right="0" w:hanging="707"/>
              <w:rPr>
                <w:rFonts w:hAnsi="宋体" w:cs="Courier New"/>
                <w:sz w:val="21"/>
                <w:szCs w:val="21"/>
              </w:rPr>
            </w:pPr>
            <w:r>
              <w:rPr>
                <w:rFonts w:hint="eastAsia" w:hAnsi="宋体" w:cs="Courier New"/>
                <w:sz w:val="21"/>
                <w:szCs w:val="21"/>
              </w:rPr>
              <w:t>纳税人识别号：</w:t>
            </w:r>
          </w:p>
        </w:tc>
      </w:tr>
    </w:tbl>
    <w:p>
      <w:pPr>
        <w:spacing w:before="0" w:after="0"/>
        <w:ind w:right="0" w:firstLine="200"/>
        <w:rPr>
          <w:rFonts w:ascii="宋体" w:hAnsi="宋体"/>
          <w:b/>
        </w:rPr>
      </w:pPr>
    </w:p>
    <w:p>
      <w:pPr>
        <w:spacing w:before="0" w:after="0"/>
        <w:ind w:right="0" w:firstLine="1476" w:firstLineChars="700"/>
        <w:jc w:val="left"/>
        <w:rPr>
          <w:rFonts w:ascii="Arial" w:hAnsi="Arial" w:eastAsia="黑体"/>
          <w:b/>
          <w:kern w:val="2"/>
          <w:sz w:val="24"/>
          <w:szCs w:val="20"/>
        </w:rPr>
      </w:pPr>
      <w:r>
        <w:rPr>
          <w:rFonts w:hint="eastAsia" w:ascii="宋体" w:hAnsi="宋体"/>
          <w:b/>
        </w:rPr>
        <w:t>签订时间：</w:t>
      </w:r>
      <w:bookmarkStart w:id="1129" w:name="_Toc437544533"/>
      <w:bookmarkStart w:id="1130" w:name="_Toc369786982"/>
      <w:bookmarkStart w:id="1131" w:name="_Toc18055"/>
    </w:p>
    <w:p>
      <w:pPr>
        <w:keepNext/>
        <w:keepLines/>
        <w:widowControl w:val="0"/>
        <w:spacing w:before="240" w:beforeLines="100" w:after="120" w:afterLines="50" w:afterAutospacing="0" w:line="240" w:lineRule="auto"/>
        <w:ind w:left="0" w:right="0" w:firstLine="482" w:firstLineChars="200"/>
        <w:jc w:val="center"/>
        <w:outlineLvl w:val="1"/>
        <w:rPr>
          <w:rFonts w:ascii="Arial" w:hAnsi="Arial" w:eastAsia="黑体"/>
          <w:b/>
          <w:kern w:val="2"/>
          <w:sz w:val="24"/>
          <w:szCs w:val="20"/>
        </w:rPr>
      </w:pPr>
      <w:bookmarkStart w:id="1132" w:name="_Toc4133"/>
      <w:bookmarkStart w:id="1133" w:name="_Toc32273"/>
      <w:bookmarkStart w:id="1134" w:name="_Toc7689"/>
      <w:bookmarkStart w:id="1135" w:name="_Toc7529"/>
      <w:bookmarkStart w:id="1136" w:name="_Toc30637"/>
      <w:bookmarkStart w:id="1137" w:name="_Toc258"/>
      <w:bookmarkStart w:id="1138" w:name="_Toc18191"/>
      <w:bookmarkStart w:id="1139" w:name="_Toc16743"/>
      <w:bookmarkStart w:id="1140" w:name="_Toc25750634"/>
      <w:bookmarkStart w:id="1141" w:name="_Toc11253"/>
      <w:bookmarkStart w:id="1142" w:name="_Toc24098"/>
      <w:bookmarkStart w:id="1143" w:name="_Toc9188"/>
      <w:bookmarkStart w:id="1144" w:name="_Toc25720"/>
      <w:bookmarkStart w:id="1145" w:name="_Toc10196"/>
      <w:bookmarkStart w:id="1146" w:name="_Toc997"/>
      <w:bookmarkStart w:id="1147" w:name="_Toc9438"/>
      <w:bookmarkStart w:id="1148" w:name="_Toc14469"/>
      <w:bookmarkStart w:id="1149" w:name="_Toc24973"/>
      <w:bookmarkStart w:id="1150" w:name="_Toc29876"/>
      <w:bookmarkStart w:id="1151" w:name="_Toc25942"/>
      <w:bookmarkStart w:id="1152" w:name="_Toc12155"/>
      <w:bookmarkStart w:id="1153" w:name="_Toc30288"/>
      <w:bookmarkStart w:id="1154" w:name="_Toc18460"/>
      <w:bookmarkStart w:id="1155" w:name="_Toc6088"/>
      <w:r>
        <w:rPr>
          <w:rFonts w:hint="eastAsia" w:ascii="宋体" w:hAnsi="宋体"/>
          <w:b/>
          <w:sz w:val="24"/>
          <w:szCs w:val="24"/>
        </w:rPr>
        <w:t>二、合同条款</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keepNext/>
        <w:keepLines/>
        <w:widowControl w:val="0"/>
        <w:spacing w:before="240" w:beforeLines="100" w:after="120" w:afterLines="50" w:afterAutospacing="0" w:line="240" w:lineRule="auto"/>
        <w:ind w:left="0" w:right="0" w:firstLine="482" w:firstLineChars="200"/>
        <w:rPr>
          <w:rFonts w:ascii="Arial" w:hAnsi="Arial" w:eastAsia="黑体"/>
          <w:b/>
          <w:kern w:val="2"/>
          <w:sz w:val="24"/>
          <w:szCs w:val="20"/>
        </w:rPr>
      </w:pPr>
    </w:p>
    <w:bookmarkEnd w:id="1129"/>
    <w:bookmarkEnd w:id="1130"/>
    <w:bookmarkEnd w:id="1131"/>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bookmarkStart w:id="1156" w:name="_Toc15364"/>
      <w:bookmarkStart w:id="1157" w:name="_Toc369786983"/>
      <w:bookmarkStart w:id="1158" w:name="_Toc437544534"/>
      <w:r>
        <w:rPr>
          <w:rFonts w:hint="eastAsia" w:ascii="黑体" w:hAnsi="黑体" w:eastAsia="黑体" w:cs="黑体"/>
          <w:b/>
          <w:kern w:val="2"/>
          <w:sz w:val="24"/>
          <w:szCs w:val="20"/>
        </w:rPr>
        <w:t>1.定义及解释</w:t>
      </w:r>
    </w:p>
    <w:p>
      <w:pPr>
        <w:spacing w:before="0" w:after="0" w:afterAutospacing="0"/>
        <w:ind w:left="0" w:right="0" w:firstLine="420" w:firstLineChars="200"/>
        <w:rPr>
          <w:rFonts w:ascii="宋体" w:hAnsi="宋体" w:cs="Arial"/>
        </w:rPr>
      </w:pPr>
      <w:r>
        <w:rPr>
          <w:rFonts w:hint="eastAsia" w:ascii="宋体" w:hAnsi="宋体" w:cs="Arial"/>
        </w:rPr>
        <w:t>1.1定义</w:t>
      </w:r>
    </w:p>
    <w:p>
      <w:pPr>
        <w:spacing w:before="0" w:after="0" w:afterAutospacing="0"/>
        <w:ind w:left="0" w:right="0" w:firstLine="420" w:firstLineChars="200"/>
        <w:rPr>
          <w:rFonts w:ascii="宋体" w:hAnsi="宋体" w:cs="Arial"/>
        </w:rPr>
      </w:pPr>
      <w:r>
        <w:rPr>
          <w:rFonts w:hint="eastAsia" w:ascii="宋体" w:hAnsi="宋体" w:cs="Arial"/>
        </w:rPr>
        <w:t>在合同中，下列措辞和用语具有此处所赋予的他们的含义：</w:t>
      </w:r>
    </w:p>
    <w:p>
      <w:pPr>
        <w:spacing w:before="0" w:after="0" w:afterAutospacing="0"/>
        <w:ind w:left="0" w:right="0" w:firstLine="420" w:firstLineChars="200"/>
        <w:rPr>
          <w:rFonts w:ascii="宋体" w:hAnsi="宋体" w:cs="Arial"/>
        </w:rPr>
      </w:pPr>
      <w:r>
        <w:rPr>
          <w:rFonts w:hint="eastAsia" w:ascii="宋体" w:hAnsi="宋体" w:cs="Arial"/>
        </w:rPr>
        <w:t>1.1.1合同文件（或称合同）：指合同协议书、中选通知书、合同条款、技术规格书、比选中选文件和澄清文件及甲方对项目开展的有关规定等。</w:t>
      </w:r>
    </w:p>
    <w:p>
      <w:pPr>
        <w:spacing w:before="0" w:after="0" w:afterAutospacing="0"/>
        <w:ind w:left="0" w:right="0" w:firstLine="420" w:firstLineChars="200"/>
        <w:rPr>
          <w:rFonts w:ascii="宋体" w:hAnsi="宋体" w:cs="Arial"/>
        </w:rPr>
      </w:pPr>
      <w:r>
        <w:rPr>
          <w:rFonts w:hint="eastAsia" w:ascii="宋体" w:hAnsi="宋体" w:cs="Arial"/>
        </w:rPr>
        <w:t>1.1.2 “合同价格”指合同规定乙方在正确地完全履行合同义务后甲方应支付给乙方的金额。</w:t>
      </w:r>
    </w:p>
    <w:p>
      <w:pPr>
        <w:spacing w:before="0" w:after="0" w:afterAutospacing="0"/>
        <w:ind w:left="0" w:right="0" w:firstLine="420" w:firstLineChars="200"/>
        <w:rPr>
          <w:rFonts w:ascii="宋体" w:hAnsi="宋体" w:cs="Arial"/>
        </w:rPr>
      </w:pPr>
      <w:r>
        <w:rPr>
          <w:rFonts w:hint="eastAsia" w:ascii="宋体" w:hAnsi="宋体" w:cs="Arial"/>
        </w:rPr>
        <w:t>1.1.3 “合同条款”系指本合同条款。</w:t>
      </w:r>
    </w:p>
    <w:p>
      <w:pPr>
        <w:spacing w:before="0" w:after="0" w:afterAutospacing="0"/>
        <w:ind w:left="0" w:right="0" w:firstLine="420" w:firstLineChars="200"/>
        <w:rPr>
          <w:rFonts w:ascii="宋体" w:hAnsi="宋体" w:cs="Arial"/>
        </w:rPr>
      </w:pPr>
      <w:r>
        <w:rPr>
          <w:rFonts w:hint="eastAsia" w:ascii="宋体" w:hAnsi="宋体" w:cs="Arial"/>
        </w:rPr>
        <w:t>1.1.4“甲方”或“业主”系指南宁轨道交通运营有限公司。</w:t>
      </w:r>
    </w:p>
    <w:p>
      <w:pPr>
        <w:spacing w:before="0" w:after="0" w:afterAutospacing="0"/>
        <w:ind w:left="0" w:right="0" w:firstLine="420" w:firstLineChars="200"/>
        <w:rPr>
          <w:rFonts w:ascii="宋体" w:hAnsi="宋体" w:cs="Arial"/>
        </w:rPr>
      </w:pPr>
      <w:r>
        <w:rPr>
          <w:rFonts w:hint="eastAsia" w:ascii="宋体" w:hAnsi="宋体" w:cs="Arial"/>
        </w:rPr>
        <w:t>1.1.5“乙方”系指受甲方委托，负责本项目提供</w:t>
      </w:r>
      <w:r>
        <w:rPr>
          <w:rFonts w:hint="eastAsia" w:ascii="宋体" w:hAnsi="宋体"/>
        </w:rPr>
        <w:t>电客车转向架橡胶件检测服务</w:t>
      </w:r>
      <w:r>
        <w:rPr>
          <w:rFonts w:hint="eastAsia" w:ascii="宋体" w:hAnsi="宋体" w:cs="Arial"/>
        </w:rPr>
        <w:t>（包括但不限于评估部件性能指标是否满足服役要求，评估部件薄弱环节和剩余寿命，包括主要失效模式，提供后续维修建议及相关报告等）的法人和/或其他组织。</w:t>
      </w:r>
    </w:p>
    <w:p>
      <w:pPr>
        <w:spacing w:before="0" w:after="0" w:afterAutospacing="0"/>
        <w:ind w:left="0" w:right="0" w:firstLine="420" w:firstLineChars="200"/>
        <w:rPr>
          <w:rFonts w:ascii="宋体" w:hAnsi="宋体" w:cs="Arial"/>
        </w:rPr>
      </w:pPr>
      <w:r>
        <w:rPr>
          <w:rFonts w:hint="eastAsia" w:ascii="宋体" w:hAnsi="宋体" w:cs="Arial"/>
        </w:rPr>
        <w:t>1.1.6“双方”系指甲方和乙方。</w:t>
      </w:r>
    </w:p>
    <w:p>
      <w:pPr>
        <w:spacing w:before="0" w:after="0" w:afterAutospacing="0"/>
        <w:ind w:left="0" w:right="0" w:firstLine="420" w:firstLineChars="200"/>
        <w:rPr>
          <w:rFonts w:ascii="宋体" w:hAnsi="宋体" w:cs="Arial"/>
        </w:rPr>
      </w:pPr>
      <w:r>
        <w:rPr>
          <w:rFonts w:hint="eastAsia" w:ascii="宋体" w:hAnsi="宋体" w:cs="Arial"/>
        </w:rPr>
        <w:t>1.1.7不可抗力：是指合同当事人在签订合同时不可预见，在合同履行过程中不可避免且不能克服的自然灾害和社会性突发事件，如地震、海啸、瘟疫、骚乱、戒严、暴动、战争和合同条款中约定的其他情形。</w:t>
      </w:r>
    </w:p>
    <w:p>
      <w:pPr>
        <w:spacing w:before="0" w:after="0" w:afterAutospacing="0"/>
        <w:ind w:left="0" w:right="0" w:firstLine="420" w:firstLineChars="200"/>
        <w:rPr>
          <w:rFonts w:ascii="宋体" w:hAnsi="宋体" w:cs="Arial"/>
        </w:rPr>
      </w:pPr>
      <w:r>
        <w:rPr>
          <w:rFonts w:hint="eastAsia" w:ascii="宋体" w:hAnsi="宋体" w:cs="Arial"/>
        </w:rPr>
        <w:t>1.2解释</w:t>
      </w:r>
    </w:p>
    <w:p>
      <w:pPr>
        <w:spacing w:before="0" w:after="0" w:afterAutospacing="0"/>
        <w:ind w:left="0" w:right="0" w:firstLine="420" w:firstLineChars="200"/>
        <w:rPr>
          <w:rFonts w:ascii="宋体" w:hAnsi="宋体" w:cs="Arial"/>
        </w:rPr>
      </w:pPr>
      <w:r>
        <w:rPr>
          <w:rFonts w:hint="eastAsia" w:ascii="宋体" w:hAnsi="宋体" w:cs="Arial"/>
        </w:rPr>
        <w:t>1.2.1本合同条款中的标题和题名不应视为是本合同条款的一部分，在合同的解释或构成中也不应考虑这些标题和题名。本合同引用某个条款时，除非特别说明，应解释为该条款项下所有子条款的内容。</w:t>
      </w:r>
    </w:p>
    <w:p>
      <w:pPr>
        <w:spacing w:before="0" w:after="0" w:afterAutospacing="0"/>
        <w:ind w:left="0" w:right="0" w:firstLine="420" w:firstLineChars="200"/>
        <w:rPr>
          <w:rFonts w:ascii="宋体" w:hAnsi="宋体" w:cs="Arial"/>
        </w:rPr>
      </w:pPr>
      <w:r>
        <w:rPr>
          <w:rFonts w:hint="eastAsia" w:ascii="宋体" w:hAnsi="宋体" w:cs="Arial"/>
        </w:rPr>
        <w:t>1.2.2凡指当事人或各方的措辞应包括商行、公司以及具有法人资格的任何组织。仅表明单数形式的词也包括复数含义，视上下文需要而定，反之亦然。</w:t>
      </w:r>
    </w:p>
    <w:p>
      <w:pPr>
        <w:spacing w:before="0" w:after="0" w:afterAutospacing="0"/>
        <w:ind w:left="0" w:right="0" w:firstLine="420" w:firstLineChars="200"/>
        <w:rPr>
          <w:rFonts w:ascii="宋体" w:hAnsi="宋体" w:cs="Arial"/>
        </w:rPr>
      </w:pPr>
      <w:r>
        <w:rPr>
          <w:rFonts w:hint="eastAsia" w:ascii="宋体" w:hAnsi="宋体" w:cs="Arial"/>
        </w:rPr>
        <w:t>1.2.3凡合同中规定通讯是“书面的”或“用书面形式”，这是指任何手写的、打印的或印刷的通讯及其它所有用书面记录的现代通讯方法进行的通讯，包括邮件、电报、电传和传真等发送。</w:t>
      </w:r>
    </w:p>
    <w:p>
      <w:pPr>
        <w:spacing w:before="0" w:after="0" w:afterAutospacing="0"/>
        <w:ind w:left="0" w:right="0" w:firstLine="420" w:firstLineChars="200"/>
        <w:rPr>
          <w:rFonts w:ascii="宋体" w:hAnsi="宋体" w:cs="Arial"/>
        </w:rPr>
      </w:pPr>
      <w:r>
        <w:rPr>
          <w:rFonts w:hint="eastAsia" w:ascii="宋体" w:hAnsi="宋体" w:cs="Arial"/>
        </w:rPr>
        <w:t>1.2.4凡合同规定任何人发出通知、同意或确认时，该通知、同意或确认不得被无故扣押。除非另有规定，该通知、同意或确认应是书面的并应对“通知”一词做出相应解释。</w:t>
      </w:r>
    </w:p>
    <w:p>
      <w:pPr>
        <w:spacing w:before="0" w:after="0" w:afterAutospacing="0"/>
        <w:ind w:left="0" w:right="0" w:firstLine="420" w:firstLineChars="200"/>
        <w:rPr>
          <w:rFonts w:ascii="宋体" w:hAnsi="宋体" w:cs="Arial"/>
        </w:rPr>
      </w:pPr>
      <w:r>
        <w:rPr>
          <w:rFonts w:hint="eastAsia" w:ascii="宋体" w:hAnsi="宋体" w:cs="Arial"/>
        </w:rPr>
        <w:t>1.2.5可分割性：如果合同的某一条款被禁止或定为是无效的、不可实施的，那么，如此的禁止，无效性或不可实施性不会影响到合同其他条款的有效性或可实施性。</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2.适用性</w:t>
      </w:r>
    </w:p>
    <w:p>
      <w:pPr>
        <w:spacing w:before="0" w:after="0" w:afterAutospacing="0"/>
        <w:ind w:left="0" w:right="0" w:firstLine="420" w:firstLineChars="200"/>
        <w:rPr>
          <w:rFonts w:ascii="宋体" w:hAnsi="宋体" w:cs="Arial"/>
        </w:rPr>
      </w:pPr>
      <w:r>
        <w:rPr>
          <w:rFonts w:hint="eastAsia" w:ascii="宋体" w:hAnsi="宋体" w:cs="Arial"/>
        </w:rPr>
        <w:t>本合同条款适用于本合同其它部分未有规定或未被替代的范围。</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3.语言文字</w:t>
      </w:r>
    </w:p>
    <w:p>
      <w:pPr>
        <w:spacing w:before="0" w:after="0" w:afterAutospacing="0"/>
        <w:ind w:left="0" w:right="0" w:firstLine="420" w:firstLineChars="200"/>
        <w:rPr>
          <w:rFonts w:ascii="宋体" w:hAnsi="宋体" w:cs="Arial"/>
        </w:rPr>
      </w:pPr>
      <w:r>
        <w:rPr>
          <w:rFonts w:hint="eastAsia" w:ascii="宋体" w:hAnsi="宋体" w:cs="Arial"/>
        </w:rPr>
        <w:t>除专用术语外，合同使用的语言文字为中文。专用术语在使用其他语种文字应附有中文注释。</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4.适用法律、标准和规范</w:t>
      </w:r>
    </w:p>
    <w:p>
      <w:pPr>
        <w:spacing w:before="0" w:after="0" w:afterAutospacing="0"/>
        <w:ind w:left="0" w:right="0" w:firstLine="420" w:firstLineChars="200"/>
        <w:rPr>
          <w:rFonts w:ascii="宋体" w:hAnsi="宋体" w:cs="Arial"/>
        </w:rPr>
      </w:pPr>
      <w:r>
        <w:rPr>
          <w:rFonts w:hint="eastAsia" w:ascii="宋体" w:hAnsi="宋体" w:cs="Arial"/>
        </w:rPr>
        <w:t>4.1适用于合同的法律包括国家现行法律、行政法规、部门规章，以及广西壮族自治区和南宁市的地方法规、地方政府规章。</w:t>
      </w:r>
    </w:p>
    <w:p>
      <w:pPr>
        <w:spacing w:before="0" w:after="0" w:afterAutospacing="0"/>
        <w:ind w:left="0" w:right="0" w:firstLine="420" w:firstLineChars="200"/>
        <w:rPr>
          <w:rFonts w:ascii="宋体" w:hAnsi="宋体" w:cs="Arial"/>
        </w:rPr>
      </w:pPr>
      <w:r>
        <w:rPr>
          <w:rFonts w:hint="eastAsia" w:ascii="宋体" w:hAnsi="宋体" w:cs="Arial"/>
        </w:rPr>
        <w:t>4.2适用标准、规范。</w:t>
      </w:r>
    </w:p>
    <w:p>
      <w:pPr>
        <w:spacing w:before="0" w:after="0" w:afterAutospacing="0"/>
        <w:ind w:left="0" w:right="0" w:firstLine="420" w:firstLineChars="200"/>
        <w:rPr>
          <w:rFonts w:ascii="宋体" w:hAnsi="宋体" w:cs="Arial"/>
        </w:rPr>
      </w:pPr>
      <w:r>
        <w:rPr>
          <w:rFonts w:hint="eastAsia" w:ascii="宋体" w:hAnsi="宋体" w:cs="Arial"/>
        </w:rPr>
        <w:t>4.3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5.合同文件、资料及使用</w:t>
      </w:r>
    </w:p>
    <w:p>
      <w:pPr>
        <w:spacing w:before="0" w:after="0" w:afterAutospacing="0"/>
        <w:ind w:left="0" w:right="0" w:firstLine="420" w:firstLineChars="200"/>
        <w:rPr>
          <w:rFonts w:ascii="宋体" w:hAnsi="宋体" w:cs="Arial"/>
        </w:rPr>
      </w:pPr>
      <w:r>
        <w:rPr>
          <w:rFonts w:hint="eastAsia" w:ascii="宋体" w:hAnsi="宋体" w:cs="Arial"/>
        </w:rPr>
        <w:t>5.1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spacing w:before="0" w:after="0" w:afterAutospacing="0"/>
        <w:ind w:left="0" w:right="0" w:firstLine="420" w:firstLineChars="200"/>
        <w:rPr>
          <w:rFonts w:ascii="宋体" w:hAnsi="宋体" w:cs="Arial"/>
        </w:rPr>
      </w:pPr>
      <w:r>
        <w:rPr>
          <w:rFonts w:hint="eastAsia" w:ascii="宋体" w:hAnsi="宋体" w:cs="Arial"/>
        </w:rPr>
        <w:t>5.2没有甲方事先书面同意，除了履行本合同之外，乙方不得允许他人使用条款第5.1条所列举的任何文件和资料。</w:t>
      </w:r>
    </w:p>
    <w:p>
      <w:pPr>
        <w:spacing w:before="0" w:after="0" w:afterAutospacing="0"/>
        <w:ind w:left="0" w:right="0" w:firstLine="420" w:firstLineChars="200"/>
        <w:rPr>
          <w:rFonts w:ascii="宋体" w:hAnsi="宋体" w:cs="Arial"/>
        </w:rPr>
      </w:pPr>
      <w:r>
        <w:rPr>
          <w:rFonts w:hint="eastAsia" w:ascii="宋体" w:hAnsi="宋体" w:cs="Arial"/>
        </w:rPr>
        <w:t>5.3除了合同本身以外，条款第5.1条所列举的任何文件均视为甲方的财产。如果甲方有要求，乙方在完成合同后或合同终止时应将上述文件及全部复印件还交给甲方，或按甲方需求予以销毁。</w:t>
      </w:r>
    </w:p>
    <w:p>
      <w:pPr>
        <w:spacing w:before="0" w:after="0" w:afterAutospacing="0"/>
        <w:ind w:left="0" w:right="0" w:firstLine="420" w:firstLineChars="200"/>
        <w:rPr>
          <w:rFonts w:ascii="宋体" w:hAnsi="宋体" w:cs="Arial"/>
        </w:rPr>
      </w:pPr>
      <w:r>
        <w:rPr>
          <w:rFonts w:hint="eastAsia" w:ascii="宋体" w:hAnsi="宋体" w:cs="Arial"/>
        </w:rPr>
        <w:t>5.4甲方项目档案管理的规定（各类项目文件资料档案的移交份数，详见南宁轨道交通运营有限公司有关部门立卷的规定文件）。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ascii="宋体" w:hAnsi="宋体" w:cs="Arial"/>
        </w:rPr>
      </w:pPr>
      <w:r>
        <w:rPr>
          <w:rFonts w:hint="eastAsia" w:ascii="宋体" w:hAnsi="宋体" w:cs="Arial"/>
        </w:rPr>
        <w:t>乙方须按甲方有关整理档案的规范，负责编制整理合同项目所产生的档案，在验收一个月内向甲方移交。甲方接收了乙方完整的档案后应签署项目档案移交确认书。未能按时移交档案的，甲方停止支付合同价款。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s="Arial"/>
        </w:rPr>
      </w:pPr>
      <w:r>
        <w:rPr>
          <w:rFonts w:hint="eastAsia" w:ascii="宋体" w:hAnsi="宋体" w:cs="Arial"/>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6.知识产权</w:t>
      </w:r>
    </w:p>
    <w:p>
      <w:pPr>
        <w:spacing w:before="0" w:after="0" w:afterAutospacing="0"/>
        <w:ind w:left="0" w:right="0" w:firstLine="420" w:firstLineChars="200"/>
        <w:rPr>
          <w:rFonts w:ascii="宋体" w:hAnsi="宋体" w:cs="Arial"/>
        </w:rPr>
      </w:pPr>
      <w:r>
        <w:rPr>
          <w:rFonts w:hint="eastAsia" w:ascii="宋体" w:hAnsi="宋体" w:cs="Arial"/>
        </w:rPr>
        <w:t>6.1乙方应保证其拥有货物及服务的知识产权，并保证甲方在中华人民共和国使用货物及服务或其任何一部分时，免受第三方提出侵犯其任何专利权、著作权、注册商标专有使用权、计算机软件登记或反不正当竞争的起诉及索赔。否则，由此而引起的所有责任及费用由乙方承担。</w:t>
      </w:r>
    </w:p>
    <w:p>
      <w:pPr>
        <w:spacing w:before="0" w:after="0" w:afterAutospacing="0"/>
        <w:ind w:left="0" w:right="0" w:firstLine="420" w:firstLineChars="200"/>
        <w:rPr>
          <w:rFonts w:ascii="宋体" w:hAnsi="宋体" w:cs="Arial"/>
        </w:rPr>
      </w:pPr>
      <w:r>
        <w:rPr>
          <w:rFonts w:hint="eastAsia" w:ascii="宋体" w:hAnsi="宋体" w:cs="Arial"/>
        </w:rPr>
        <w:t>6.2甲方不对乙方提供的货物的及服务的专利权、著作权、注册商标专有使用权、计算机软件登记等是否侵犯第三方权利负责，如因乙方提供货物及服务引发争议或违法导致甲方受损的，乙方应赔偿因此对甲方造成的一切损失。</w:t>
      </w:r>
    </w:p>
    <w:p>
      <w:pPr>
        <w:spacing w:before="0" w:after="0" w:afterAutospacing="0"/>
        <w:ind w:left="0" w:right="0" w:firstLine="420" w:firstLineChars="200"/>
        <w:rPr>
          <w:rFonts w:ascii="宋体" w:hAnsi="宋体" w:cs="Arial"/>
        </w:rPr>
      </w:pPr>
      <w:r>
        <w:rPr>
          <w:rFonts w:hint="eastAsia" w:ascii="宋体" w:hAnsi="宋体" w:cs="Arial"/>
        </w:rPr>
        <w:t>6.3非乙方所有知识产权的货物及服务，乙方有义务提供给甲方正规渠道证明。甲方永久享有乙方为本合同项下提供的产品、软件、技术资料的使用权，并无需交纳任何形式的使用费（如有此类费用的话）。</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7.甲乙方权利与义务</w:t>
      </w:r>
    </w:p>
    <w:p>
      <w:pPr>
        <w:spacing w:before="0" w:after="0" w:afterAutospacing="0"/>
        <w:ind w:left="0" w:right="0" w:firstLine="420" w:firstLineChars="200"/>
        <w:rPr>
          <w:rFonts w:ascii="宋体" w:hAnsi="宋体" w:cs="Arial"/>
        </w:rPr>
      </w:pPr>
      <w:r>
        <w:rPr>
          <w:rFonts w:hint="eastAsia" w:ascii="宋体" w:hAnsi="宋体" w:cs="Arial"/>
        </w:rPr>
        <w:t>7.1甲方的权利与义务</w:t>
      </w:r>
    </w:p>
    <w:p>
      <w:pPr>
        <w:spacing w:before="0" w:after="0" w:afterAutospacing="0"/>
        <w:ind w:left="0" w:right="0" w:firstLine="420" w:firstLineChars="200"/>
        <w:rPr>
          <w:rFonts w:ascii="宋体" w:hAnsi="宋体" w:cs="Arial"/>
        </w:rPr>
      </w:pPr>
      <w:r>
        <w:rPr>
          <w:rFonts w:hint="eastAsia" w:ascii="宋体" w:hAnsi="宋体" w:cs="Arial"/>
        </w:rPr>
        <w:t>7.1.1对乙方检测服务工作进行监督的权利。</w:t>
      </w:r>
    </w:p>
    <w:p>
      <w:pPr>
        <w:spacing w:before="0" w:after="0" w:afterAutospacing="0"/>
        <w:ind w:left="0" w:right="0" w:firstLine="420" w:firstLineChars="200"/>
        <w:rPr>
          <w:rFonts w:ascii="宋体" w:hAnsi="宋体" w:cs="Arial"/>
        </w:rPr>
      </w:pPr>
      <w:r>
        <w:rPr>
          <w:rFonts w:hint="eastAsia" w:ascii="宋体" w:hAnsi="宋体" w:cs="Arial"/>
        </w:rPr>
        <w:t>7.1.2有依法或依本合同约定解除与乙方的委托关系的权利。</w:t>
      </w:r>
    </w:p>
    <w:p>
      <w:pPr>
        <w:spacing w:before="0" w:after="0" w:afterAutospacing="0"/>
        <w:ind w:left="0" w:right="0" w:firstLine="420" w:firstLineChars="200"/>
        <w:rPr>
          <w:rFonts w:ascii="宋体" w:hAnsi="宋体" w:cs="Arial"/>
        </w:rPr>
      </w:pPr>
      <w:r>
        <w:rPr>
          <w:rFonts w:hint="eastAsia" w:ascii="宋体" w:hAnsi="宋体" w:cs="Arial"/>
        </w:rPr>
        <w:t>7.1.3甲方有权不定时随机检查，乙方必须无条件配合检查。</w:t>
      </w:r>
    </w:p>
    <w:p>
      <w:pPr>
        <w:spacing w:before="0" w:after="0" w:afterAutospacing="0"/>
        <w:ind w:left="0" w:right="0" w:firstLine="420" w:firstLineChars="200"/>
        <w:rPr>
          <w:rFonts w:ascii="宋体" w:hAnsi="宋体" w:cs="Arial"/>
        </w:rPr>
      </w:pPr>
      <w:r>
        <w:rPr>
          <w:rFonts w:hint="eastAsia" w:ascii="宋体" w:hAnsi="宋体" w:cs="Arial"/>
        </w:rPr>
        <w:t>7.1.4及时将本项目所需的基础技术资料提交乙方。</w:t>
      </w:r>
    </w:p>
    <w:p>
      <w:pPr>
        <w:spacing w:before="0" w:after="0" w:afterAutospacing="0"/>
        <w:ind w:left="0" w:right="0" w:firstLine="420" w:firstLineChars="200"/>
        <w:rPr>
          <w:rFonts w:ascii="宋体" w:hAnsi="宋体" w:cs="Arial"/>
        </w:rPr>
      </w:pPr>
      <w:r>
        <w:rPr>
          <w:rFonts w:hint="eastAsia" w:ascii="宋体" w:hAnsi="宋体" w:cs="Arial"/>
        </w:rPr>
        <w:t>7.1.5有权对工期、质量、人员、设备、劳保用品进行监督检查，对不符合技术要求的，乙方必须自费进行整改。</w:t>
      </w:r>
    </w:p>
    <w:p>
      <w:pPr>
        <w:spacing w:before="0" w:after="0" w:afterAutospacing="0"/>
        <w:ind w:left="0" w:right="0" w:firstLine="420" w:firstLineChars="200"/>
        <w:rPr>
          <w:rFonts w:ascii="宋体" w:hAnsi="宋体" w:cs="Arial"/>
          <w:highlight w:val="none"/>
        </w:rPr>
      </w:pPr>
      <w:r>
        <w:rPr>
          <w:rFonts w:hint="eastAsia" w:ascii="宋体" w:hAnsi="宋体" w:cs="Arial"/>
        </w:rPr>
        <w:t>7.2乙方的权利与义务</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7.2.1乙方应严格按照技术规格书的标准及要求提供检测服务工作</w:t>
      </w:r>
      <w:r>
        <w:rPr>
          <w:rFonts w:hint="eastAsia" w:ascii="宋体" w:hAnsi="宋体" w:cs="Arial"/>
          <w:highlight w:val="none"/>
          <w:lang w:eastAsia="zh-CN"/>
        </w:rPr>
        <w:t>，</w:t>
      </w:r>
      <w:r>
        <w:rPr>
          <w:rFonts w:hint="eastAsia" w:ascii="宋体" w:hAnsi="宋体" w:cs="Arial"/>
          <w:highlight w:val="none"/>
          <w:lang w:val="en-US" w:eastAsia="zh-CN"/>
        </w:rPr>
        <w:t>并对其</w:t>
      </w:r>
      <w:r>
        <w:rPr>
          <w:rFonts w:hint="eastAsia" w:ascii="宋体" w:hAnsi="宋体" w:cs="宋体"/>
          <w:color w:val="000000"/>
          <w:highlight w:val="none"/>
          <w:lang w:val="en-US" w:eastAsia="zh-CN" w:bidi="ar"/>
        </w:rPr>
        <w:t>成果报告的准确性、真实性出具承诺书</w:t>
      </w:r>
      <w:r>
        <w:rPr>
          <w:rFonts w:hint="eastAsia" w:ascii="宋体" w:hAnsi="宋体" w:cs="Arial"/>
          <w:highlight w:val="none"/>
        </w:rPr>
        <w:t>。</w:t>
      </w:r>
    </w:p>
    <w:p>
      <w:pPr>
        <w:spacing w:before="0" w:after="0" w:afterAutospacing="0"/>
        <w:ind w:left="0" w:right="0" w:firstLine="420" w:firstLineChars="200"/>
        <w:rPr>
          <w:rFonts w:ascii="宋体" w:hAnsi="宋体" w:cs="Arial"/>
        </w:rPr>
      </w:pPr>
      <w:r>
        <w:rPr>
          <w:rFonts w:hint="eastAsia" w:ascii="宋体" w:hAnsi="宋体" w:cs="Arial"/>
        </w:rPr>
        <w:t>7.2.2享有按照本合同约定和相关规定向甲方收取项目费用的权利。</w:t>
      </w:r>
    </w:p>
    <w:p>
      <w:pPr>
        <w:spacing w:before="0" w:after="0" w:afterAutospacing="0"/>
        <w:ind w:left="0" w:right="0" w:firstLine="420" w:firstLineChars="200"/>
        <w:rPr>
          <w:rFonts w:ascii="宋体" w:hAnsi="宋体" w:cs="Arial"/>
        </w:rPr>
      </w:pPr>
      <w:r>
        <w:rPr>
          <w:rFonts w:hint="eastAsia" w:ascii="宋体" w:hAnsi="宋体" w:cs="Arial"/>
        </w:rPr>
        <w:t>7.2.3享有在遵守国家法律、法规、行业规范的前提下，开展检测服务工作的权利。</w:t>
      </w:r>
    </w:p>
    <w:p>
      <w:pPr>
        <w:spacing w:before="0" w:after="0" w:afterAutospacing="0"/>
        <w:ind w:left="0" w:right="0" w:firstLine="420" w:firstLineChars="200"/>
        <w:rPr>
          <w:rFonts w:ascii="宋体" w:hAnsi="宋体" w:cs="Arial"/>
        </w:rPr>
      </w:pPr>
      <w:r>
        <w:rPr>
          <w:rFonts w:hint="eastAsia" w:ascii="宋体" w:hAnsi="宋体" w:cs="Arial"/>
        </w:rPr>
        <w:t>7.2.4应全面贯彻执行国家法律、法规、行业规范的相关规章制度。</w:t>
      </w:r>
    </w:p>
    <w:p>
      <w:pPr>
        <w:spacing w:before="0" w:after="0" w:afterAutospacing="0"/>
        <w:ind w:left="0" w:right="0" w:firstLine="420" w:firstLineChars="200"/>
        <w:rPr>
          <w:rFonts w:ascii="宋体" w:hAnsi="宋体" w:cs="Arial"/>
          <w:strike/>
        </w:rPr>
      </w:pPr>
      <w:r>
        <w:rPr>
          <w:rFonts w:hint="eastAsia" w:ascii="宋体" w:hAnsi="宋体" w:cs="Arial"/>
        </w:rPr>
        <w:t>7.2.5乙方负责按照甲方安全生产的有关规定，落实安全生产责任制，做好检测服务工作并承担安全责任。</w:t>
      </w:r>
    </w:p>
    <w:p>
      <w:pPr>
        <w:spacing w:before="0" w:after="0" w:afterAutospacing="0"/>
        <w:ind w:left="0" w:right="0" w:firstLine="420" w:firstLineChars="200"/>
        <w:rPr>
          <w:rFonts w:ascii="宋体" w:hAnsi="宋体" w:cs="Arial"/>
        </w:rPr>
      </w:pPr>
      <w:r>
        <w:rPr>
          <w:rFonts w:ascii="宋体" w:hAnsi="宋体" w:cs="Arial"/>
        </w:rPr>
        <w:t>7.2.</w:t>
      </w:r>
      <w:r>
        <w:rPr>
          <w:rFonts w:hint="eastAsia" w:ascii="宋体" w:hAnsi="宋体" w:cs="Arial"/>
        </w:rPr>
        <w:t>6</w:t>
      </w:r>
      <w:r>
        <w:rPr>
          <w:rFonts w:ascii="宋体" w:hAnsi="宋体" w:cs="Arial"/>
        </w:rPr>
        <w:t>乙方因自身原因造成的任何事故，乙方应承担一切责任。</w:t>
      </w:r>
    </w:p>
    <w:p>
      <w:pPr>
        <w:spacing w:before="0" w:after="0" w:afterAutospacing="0"/>
        <w:ind w:left="0" w:right="0" w:firstLine="420" w:firstLineChars="200"/>
        <w:rPr>
          <w:rFonts w:ascii="宋体" w:hAnsi="宋体" w:cs="Arial"/>
        </w:rPr>
      </w:pPr>
      <w:r>
        <w:rPr>
          <w:rFonts w:ascii="宋体" w:hAnsi="宋体" w:cs="Arial"/>
        </w:rPr>
        <w:t>7.2.</w:t>
      </w:r>
      <w:r>
        <w:rPr>
          <w:rFonts w:hint="eastAsia" w:ascii="宋体" w:hAnsi="宋体" w:cs="Arial"/>
        </w:rPr>
        <w:t>7</w:t>
      </w:r>
      <w:r>
        <w:rPr>
          <w:rFonts w:ascii="宋体" w:hAnsi="宋体" w:cs="Arial"/>
        </w:rPr>
        <w:t>乙方应该严格按照“安全第</w:t>
      </w:r>
      <w:r>
        <w:rPr>
          <w:rFonts w:hint="eastAsia" w:ascii="宋体" w:hAnsi="宋体" w:cs="Arial"/>
        </w:rPr>
        <w:t>一</w:t>
      </w:r>
      <w:r>
        <w:rPr>
          <w:rFonts w:ascii="宋体" w:hAnsi="宋体" w:cs="Arial"/>
        </w:rPr>
        <w:t>、 预防为主”的思想，不断的加强员工的安全生产教育，将安全生产贯彻到日常的工作中</w:t>
      </w:r>
      <w:r>
        <w:rPr>
          <w:rFonts w:hint="eastAsia" w:ascii="宋体" w:hAnsi="宋体" w:cs="Arial"/>
        </w:rPr>
        <w:t>。</w:t>
      </w:r>
    </w:p>
    <w:p>
      <w:pPr>
        <w:spacing w:before="0" w:after="0" w:afterAutospacing="0"/>
        <w:ind w:left="0" w:right="0" w:firstLine="420" w:firstLineChars="200"/>
        <w:rPr>
          <w:rFonts w:ascii="宋体" w:hAnsi="宋体" w:cs="Arial"/>
        </w:rPr>
      </w:pPr>
      <w:r>
        <w:rPr>
          <w:rFonts w:ascii="宋体" w:hAnsi="宋体" w:cs="Arial"/>
        </w:rPr>
        <w:t>7.2.</w:t>
      </w:r>
      <w:r>
        <w:rPr>
          <w:rFonts w:hint="eastAsia" w:ascii="宋体" w:hAnsi="宋体" w:cs="Arial"/>
        </w:rPr>
        <w:t>8</w:t>
      </w:r>
      <w:r>
        <w:rPr>
          <w:rFonts w:ascii="宋体" w:hAnsi="宋体" w:cs="Arial"/>
        </w:rPr>
        <w:t>其他详见技术规格书的要求。</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8.合同价款支付方式</w:t>
      </w:r>
    </w:p>
    <w:p>
      <w:pPr>
        <w:spacing w:before="0" w:after="0" w:afterAutospacing="0"/>
        <w:ind w:left="0" w:right="0" w:firstLine="420" w:firstLineChars="200"/>
        <w:rPr>
          <w:rFonts w:ascii="宋体" w:hAnsi="宋体" w:cs="Arial"/>
        </w:rPr>
      </w:pPr>
      <w:r>
        <w:rPr>
          <w:rFonts w:hint="eastAsia" w:ascii="宋体" w:hAnsi="宋体" w:cs="Arial"/>
        </w:rPr>
        <w:t>8.</w:t>
      </w:r>
      <w:r>
        <w:rPr>
          <w:rFonts w:hint="eastAsia" w:ascii="宋体" w:hAnsi="宋体" w:cs="Arial"/>
          <w:lang w:val="en-US" w:eastAsia="zh-CN"/>
        </w:rPr>
        <w:t>1</w:t>
      </w:r>
      <w:r>
        <w:rPr>
          <w:rFonts w:hint="eastAsia" w:ascii="宋体" w:hAnsi="宋体" w:cs="Arial"/>
        </w:rPr>
        <w:t>付款方式。</w:t>
      </w:r>
    </w:p>
    <w:p>
      <w:pPr>
        <w:spacing w:before="0" w:after="0" w:afterAutospacing="0"/>
        <w:ind w:left="0" w:right="0" w:firstLine="420" w:firstLineChars="200"/>
        <w:rPr>
          <w:rFonts w:ascii="宋体" w:hAnsi="宋体" w:cs="Arial"/>
        </w:rPr>
      </w:pPr>
      <w:r>
        <w:rPr>
          <w:rFonts w:hint="eastAsia" w:ascii="宋体" w:hAnsi="宋体" w:cs="Arial"/>
        </w:rPr>
        <w:t>8.</w:t>
      </w:r>
      <w:r>
        <w:rPr>
          <w:rFonts w:hint="eastAsia" w:ascii="宋体" w:hAnsi="宋体" w:cs="Arial"/>
          <w:lang w:val="en-US" w:eastAsia="zh-CN"/>
        </w:rPr>
        <w:t>1</w:t>
      </w:r>
      <w:r>
        <w:rPr>
          <w:rFonts w:hint="eastAsia" w:ascii="宋体" w:hAnsi="宋体" w:cs="Arial"/>
        </w:rPr>
        <w:t>.1全部项目完成后，乙方根据甲方要求完成档案归档及合同结算经甲方审定后，甲方在收到乙方提供的以下材</w:t>
      </w:r>
      <w:r>
        <w:rPr>
          <w:rFonts w:hint="eastAsia" w:ascii="宋体" w:hAnsi="宋体" w:cs="Arial"/>
          <w:highlight w:val="none"/>
        </w:rPr>
        <w:t>料后</w:t>
      </w:r>
      <w:r>
        <w:rPr>
          <w:rFonts w:hint="eastAsia" w:ascii="宋体" w:hAnsi="宋体" w:cs="Arial"/>
          <w:highlight w:val="none"/>
          <w:lang w:val="en-US" w:eastAsia="zh-CN"/>
        </w:rPr>
        <w:t>60</w:t>
      </w:r>
      <w:r>
        <w:rPr>
          <w:rFonts w:hint="eastAsia" w:ascii="宋体" w:hAnsi="宋体" w:cs="Arial"/>
          <w:highlight w:val="none"/>
        </w:rPr>
        <w:t>个工作</w:t>
      </w:r>
      <w:r>
        <w:rPr>
          <w:rFonts w:hint="eastAsia" w:ascii="宋体" w:hAnsi="宋体" w:cs="Arial"/>
        </w:rPr>
        <w:t>日内支付至合同最终审定金额的</w:t>
      </w:r>
      <w:r>
        <w:rPr>
          <w:rFonts w:ascii="宋体" w:hAnsi="宋体" w:cs="Arial"/>
        </w:rPr>
        <w:t>100</w:t>
      </w:r>
      <w:r>
        <w:rPr>
          <w:rFonts w:hint="eastAsia" w:ascii="宋体" w:hAnsi="宋体" w:cs="Arial"/>
        </w:rPr>
        <w:t>%。</w:t>
      </w:r>
    </w:p>
    <w:p>
      <w:pPr>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w:t>
      </w:r>
    </w:p>
    <w:p>
      <w:pPr>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spacing w:before="0" w:after="0" w:afterAutospacing="0"/>
        <w:ind w:left="0" w:right="0" w:firstLine="420" w:firstLineChars="200"/>
      </w:pPr>
      <w:r>
        <w:rPr>
          <w:rFonts w:hint="eastAsia" w:ascii="宋体" w:hAnsi="宋体" w:cs="Arial"/>
        </w:rPr>
        <w:t>③双方确认本项目完成的证明文件。</w:t>
      </w:r>
    </w:p>
    <w:p>
      <w:pPr>
        <w:spacing w:before="0" w:after="0" w:afterAutospacing="0"/>
        <w:ind w:left="0" w:right="0" w:firstLine="420" w:firstLineChars="200"/>
      </w:pPr>
      <w:r>
        <w:rPr>
          <w:rFonts w:hint="eastAsia" w:ascii="微软雅黑" w:hAnsi="微软雅黑" w:eastAsia="微软雅黑" w:cs="微软雅黑"/>
        </w:rPr>
        <w:t>④</w:t>
      </w:r>
      <w:r>
        <w:rPr>
          <w:rFonts w:hint="eastAsia" w:ascii="宋体" w:hAnsi="宋体" w:eastAsia="宋体" w:cs="Arial"/>
          <w:b w:val="0"/>
          <w:bCs w:val="0"/>
          <w:color w:val="auto"/>
          <w:szCs w:val="21"/>
          <w:lang w:val="en-US" w:eastAsia="zh-CN"/>
        </w:rPr>
        <w:t>运营公司委外项目合同违约处理通知单</w:t>
      </w:r>
      <w:r>
        <w:rPr>
          <w:rFonts w:hint="eastAsia" w:ascii="宋体" w:hAnsi="宋体" w:cs="Arial"/>
        </w:rPr>
        <w:t>（如有）。</w:t>
      </w:r>
    </w:p>
    <w:p>
      <w:pPr>
        <w:spacing w:before="0" w:after="0" w:afterAutospacing="0"/>
        <w:ind w:left="0" w:right="0" w:firstLine="420" w:firstLineChars="200"/>
        <w:rPr>
          <w:rFonts w:ascii="宋体" w:hAnsi="宋体" w:cs="Arial"/>
        </w:rPr>
      </w:pPr>
      <w:r>
        <w:rPr>
          <w:rFonts w:hint="eastAsia" w:ascii="宋体" w:hAnsi="宋体" w:cs="Arial"/>
        </w:rPr>
        <w:t>8.</w:t>
      </w:r>
      <w:r>
        <w:rPr>
          <w:rFonts w:hint="eastAsia" w:ascii="宋体" w:hAnsi="宋体" w:cs="Arial"/>
          <w:lang w:val="en-US" w:eastAsia="zh-CN"/>
        </w:rPr>
        <w:t>2</w:t>
      </w:r>
      <w:r>
        <w:rPr>
          <w:rFonts w:hint="eastAsia" w:ascii="宋体" w:hAnsi="宋体" w:cs="Arial"/>
        </w:rPr>
        <w:t>乙方在完成相应合同义务后以书面形式向甲方申请付款，同时随附注明已完成合同项目的发票和合同条款规定的单据。如乙方未按约定向甲方提供付款申请、足额发票及相关单据的，甲方有权顺延付款时间，且无需承担逾期付款的违约责任。</w:t>
      </w:r>
    </w:p>
    <w:p>
      <w:pPr>
        <w:spacing w:before="0" w:after="0" w:afterAutospacing="0"/>
        <w:ind w:left="0" w:right="0" w:firstLine="420" w:firstLineChars="200"/>
        <w:rPr>
          <w:rFonts w:ascii="宋体" w:hAnsi="宋体" w:cs="Arial"/>
        </w:rPr>
      </w:pPr>
      <w:r>
        <w:rPr>
          <w:rFonts w:hint="eastAsia" w:ascii="宋体" w:hAnsi="宋体" w:cs="Arial"/>
        </w:rPr>
        <w:t>8.</w:t>
      </w:r>
      <w:r>
        <w:rPr>
          <w:rFonts w:hint="eastAsia" w:ascii="宋体" w:hAnsi="宋体" w:cs="Arial"/>
          <w:lang w:val="en-US" w:eastAsia="zh-CN"/>
        </w:rPr>
        <w:t>3</w:t>
      </w:r>
      <w:r>
        <w:rPr>
          <w:rFonts w:hint="eastAsia" w:ascii="宋体" w:hAnsi="宋体" w:cs="Arial"/>
        </w:rPr>
        <w:t>支付的货币应以人民币支付，但不限于银行转账、汇票、国内信用证、供应链金融产品等支付形式。</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9.合同价格</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1</w:t>
      </w:r>
      <w:r>
        <w:rPr>
          <w:rFonts w:hint="eastAsia" w:ascii="宋体" w:hAnsi="宋体" w:cs="Arial"/>
        </w:rPr>
        <w:t>合同价格：</w:t>
      </w:r>
      <w:r>
        <w:rPr>
          <w:rFonts w:hint="eastAsia" w:ascii="宋体" w:hAnsi="宋体"/>
        </w:rPr>
        <w:t>不含增值税价：人民币</w:t>
      </w:r>
      <w:r>
        <w:rPr>
          <w:rFonts w:hint="eastAsia" w:ascii="宋体" w:hAnsi="宋体"/>
          <w:u w:val="single"/>
        </w:rPr>
        <w:t xml:space="preserve">       (¥  )</w:t>
      </w:r>
      <w:r>
        <w:rPr>
          <w:rFonts w:hint="eastAsia" w:ascii="宋体" w:hAnsi="宋体"/>
        </w:rPr>
        <w:t>；增值税税率</w:t>
      </w:r>
      <w:r>
        <w:rPr>
          <w:rFonts w:hint="eastAsia" w:ascii="宋体" w:hAnsi="宋体"/>
          <w:u w:val="single"/>
        </w:rPr>
        <w:t>： %</w:t>
      </w:r>
      <w:r>
        <w:rPr>
          <w:rFonts w:hint="eastAsia" w:ascii="宋体" w:hAnsi="宋体"/>
        </w:rPr>
        <w:t>；增值税费：人民币</w:t>
      </w:r>
      <w:r>
        <w:rPr>
          <w:rFonts w:hint="eastAsia" w:ascii="宋体" w:hAnsi="宋体"/>
          <w:u w:val="single"/>
        </w:rPr>
        <w:t xml:space="preserve">       (¥  )</w:t>
      </w:r>
      <w:r>
        <w:rPr>
          <w:rFonts w:hint="eastAsia" w:ascii="宋体" w:hAnsi="宋体"/>
        </w:rPr>
        <w:t>；含税总价：人民币</w:t>
      </w:r>
      <w:r>
        <w:rPr>
          <w:rFonts w:hint="eastAsia" w:ascii="宋体" w:hAnsi="宋体"/>
          <w:u w:val="single"/>
        </w:rPr>
        <w:t xml:space="preserve">       (¥  )</w:t>
      </w:r>
      <w:r>
        <w:rPr>
          <w:rFonts w:ascii="宋体" w:hAnsi="宋体"/>
        </w:rPr>
        <w:t>，</w:t>
      </w:r>
      <w:r>
        <w:rPr>
          <w:rFonts w:hint="eastAsia" w:ascii="宋体" w:hAnsi="宋体" w:cs="Arial"/>
        </w:rPr>
        <w:t>（下文称“合同价格”)。</w:t>
      </w:r>
    </w:p>
    <w:p>
      <w:pPr>
        <w:spacing w:before="0" w:after="0" w:afterAutospacing="0"/>
        <w:ind w:left="0" w:right="0" w:firstLine="420" w:firstLineChars="200"/>
      </w:pPr>
      <w:r>
        <w:rPr>
          <w:rFonts w:hint="eastAsia" w:ascii="宋体" w:hAnsi="宋体" w:cs="Arial"/>
        </w:rPr>
        <w:t>9.</w:t>
      </w:r>
      <w:r>
        <w:rPr>
          <w:rFonts w:hint="eastAsia" w:ascii="宋体" w:hAnsi="宋体" w:cs="Arial"/>
          <w:lang w:val="en-US" w:eastAsia="zh-CN"/>
        </w:rPr>
        <w:t>2</w:t>
      </w:r>
      <w:r>
        <w:rPr>
          <w:rFonts w:hint="eastAsia" w:ascii="宋体" w:hAnsi="宋体" w:cs="Arial"/>
        </w:rPr>
        <w:t>合同价格完全包括设备费、耗材费、人工费、管理费、运输费、利润、风险及合同包含的所有风险责任等履行合同标的全过程产生的所有成本和费用。</w:t>
      </w:r>
    </w:p>
    <w:p>
      <w:pPr>
        <w:spacing w:before="0" w:after="0" w:afterAutospacing="0"/>
        <w:ind w:left="0" w:right="0" w:firstLine="420" w:firstLineChars="200"/>
      </w:pPr>
      <w:r>
        <w:rPr>
          <w:rFonts w:hint="eastAsia" w:ascii="宋体" w:hAnsi="宋体"/>
        </w:rPr>
        <w:t>9.</w:t>
      </w:r>
      <w:r>
        <w:rPr>
          <w:rFonts w:hint="eastAsia" w:ascii="宋体" w:hAnsi="宋体"/>
          <w:lang w:val="en-US" w:eastAsia="zh-CN"/>
        </w:rPr>
        <w:t>3</w:t>
      </w:r>
      <w:r>
        <w:rPr>
          <w:rFonts w:hint="eastAsia" w:ascii="宋体" w:hAnsi="宋体"/>
        </w:rPr>
        <w:t>合同价格形式：</w:t>
      </w:r>
      <w:r>
        <w:rPr>
          <w:rFonts w:hint="eastAsia" w:ascii="宋体" w:hAnsi="宋体"/>
          <w:bCs/>
          <w:u w:val="single"/>
        </w:rPr>
        <w:t xml:space="preserve">  总价包干  </w:t>
      </w:r>
      <w:r>
        <w:rPr>
          <w:rFonts w:hint="eastAsia" w:ascii="宋体" w:hAnsi="宋体"/>
          <w:bCs/>
          <w:u w:val="single"/>
          <w:lang w:eastAsia="zh-CN"/>
        </w:rPr>
        <w:t>，</w:t>
      </w:r>
      <w:r>
        <w:rPr>
          <w:rFonts w:hint="eastAsia" w:ascii="宋体" w:hAnsi="宋体" w:cs="Arial"/>
        </w:rPr>
        <w:t>本合同价格中合同不含税总价为固定价，不得以任何理由予以合同价格上浮、上调、上涨，但如属经双方协商同意变更的情况除外。</w:t>
      </w:r>
    </w:p>
    <w:p>
      <w:pPr>
        <w:spacing w:before="0" w:after="0" w:afterAutospacing="0"/>
        <w:ind w:left="0" w:right="0" w:firstLine="420" w:firstLineChars="200"/>
        <w:rPr>
          <w:rFonts w:ascii="宋体" w:hAnsi="宋体" w:cs="Arial"/>
        </w:rPr>
      </w:pPr>
      <w:r>
        <w:rPr>
          <w:rFonts w:hint="eastAsia" w:ascii="宋体" w:hAnsi="宋体" w:cs="Arial"/>
        </w:rPr>
        <w:t>在合同履约过程中，</w:t>
      </w:r>
      <w:r>
        <w:rPr>
          <w:rFonts w:hint="eastAsia" w:ascii="宋体" w:hAnsi="宋体" w:cs="Arial"/>
          <w:b/>
          <w:bCs/>
        </w:rPr>
        <w:t>本合同税率将遵照国家现行税法执行</w:t>
      </w:r>
      <w:r>
        <w:rPr>
          <w:rFonts w:hint="eastAsia" w:ascii="宋体" w:hAnsi="宋体" w:cs="Arial"/>
        </w:rPr>
        <w:t>。在签订本项目合同时，遵循国家现行税法的相关规定在中选人不含增值税单价的基础上逐项增加增值税额，并明确相应增值税税率和增值税额，含税价格计算保留小数点后两位，含税合价为单价与数量的乘积，合同总价为分项合价之和。</w:t>
      </w:r>
      <w:r>
        <w:rPr>
          <w:rFonts w:hint="eastAsia" w:ascii="宋体" w:hAnsi="宋体" w:cs="Arial"/>
          <w:b/>
          <w:bCs/>
        </w:rPr>
        <w:t>本合同最终税金在结算阶段，按实际产生的税金进行核算，但合同不含税价格不因国家税率调整而调整</w:t>
      </w:r>
      <w:r>
        <w:rPr>
          <w:rFonts w:hint="eastAsia" w:ascii="宋体" w:hAnsi="宋体" w:cs="Arial"/>
        </w:rPr>
        <w:t>。</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4</w:t>
      </w:r>
      <w:r>
        <w:rPr>
          <w:rFonts w:hint="eastAsia" w:ascii="宋体" w:hAnsi="宋体" w:cs="Arial"/>
        </w:rPr>
        <w:t>现场知晓</w:t>
      </w:r>
    </w:p>
    <w:p>
      <w:pPr>
        <w:spacing w:before="0" w:after="0" w:afterAutospacing="0"/>
        <w:ind w:left="0" w:right="0" w:firstLine="420" w:firstLineChars="200"/>
        <w:rPr>
          <w:rFonts w:ascii="宋体" w:hAnsi="宋体" w:cs="Arial"/>
        </w:rPr>
      </w:pPr>
      <w:r>
        <w:rPr>
          <w:rFonts w:hint="eastAsia" w:ascii="宋体" w:hAnsi="宋体" w:cs="Arial"/>
        </w:rPr>
        <w:t>应当认为，乙方对本合同现场的气候、水文和综合条件以及用于项目运行的资料完全知晓，并对国家及地方法律法规完全知晓。</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5</w:t>
      </w:r>
      <w:r>
        <w:rPr>
          <w:rFonts w:hint="eastAsia" w:ascii="宋体" w:hAnsi="宋体" w:cs="Arial"/>
        </w:rPr>
        <w:t>价格的充分性</w:t>
      </w:r>
    </w:p>
    <w:p>
      <w:pPr>
        <w:spacing w:before="0" w:after="0" w:afterAutospacing="0"/>
        <w:ind w:left="0" w:right="0" w:firstLine="420" w:firstLineChars="200"/>
        <w:rPr>
          <w:rFonts w:ascii="宋体" w:hAnsi="宋体" w:cs="Arial"/>
        </w:rPr>
      </w:pPr>
      <w:r>
        <w:rPr>
          <w:rFonts w:hint="eastAsia" w:ascii="宋体" w:hAnsi="宋体" w:cs="Arial"/>
        </w:rPr>
        <w:t>应当认为乙方已彻底查清，并在本合同价格中充分考虑到了以下各项：</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5</w:t>
      </w:r>
      <w:r>
        <w:rPr>
          <w:rFonts w:hint="eastAsia" w:ascii="宋体" w:hAnsi="宋体" w:cs="Arial"/>
        </w:rPr>
        <w:t>.1影响合同价格的全部条件和情况；</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5</w:t>
      </w:r>
      <w:r>
        <w:rPr>
          <w:rFonts w:hint="eastAsia" w:ascii="宋体" w:hAnsi="宋体" w:cs="Arial"/>
        </w:rPr>
        <w:t>.2完成合同中所述项目的可能性；</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5</w:t>
      </w:r>
      <w:r>
        <w:rPr>
          <w:rFonts w:hint="eastAsia" w:ascii="宋体" w:hAnsi="宋体" w:cs="Arial"/>
        </w:rPr>
        <w:t>.3现场的综合情况；</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5</w:t>
      </w:r>
      <w:r>
        <w:rPr>
          <w:rFonts w:hint="eastAsia" w:ascii="宋体" w:hAnsi="宋体" w:cs="Arial"/>
        </w:rPr>
        <w:t>.4现场总的劳务情况；</w:t>
      </w:r>
    </w:p>
    <w:p>
      <w:pPr>
        <w:spacing w:before="0" w:after="0" w:afterAutospacing="0"/>
        <w:ind w:left="0" w:right="0" w:firstLine="420" w:firstLineChars="200"/>
        <w:rPr>
          <w:rFonts w:ascii="宋体" w:hAnsi="宋体" w:cs="Arial"/>
        </w:rPr>
      </w:pPr>
      <w:r>
        <w:rPr>
          <w:rFonts w:hint="eastAsia" w:ascii="宋体" w:hAnsi="宋体" w:cs="Arial"/>
        </w:rPr>
        <w:t>9.</w:t>
      </w:r>
      <w:r>
        <w:rPr>
          <w:rFonts w:hint="eastAsia" w:ascii="宋体" w:hAnsi="宋体" w:cs="Arial"/>
          <w:lang w:val="en-US" w:eastAsia="zh-CN"/>
        </w:rPr>
        <w:t>5</w:t>
      </w:r>
      <w:r>
        <w:rPr>
          <w:rFonts w:hint="eastAsia" w:ascii="宋体" w:hAnsi="宋体" w:cs="Arial"/>
        </w:rPr>
        <w:t>.5甲方不接受乙方以组价不当（包括对工作内容理解的偏差、工料耗量水平的确定、生产要素市场价格的判断、取费决策等）为由而主张的任何损失或索赔。</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10.合同变更与修改</w:t>
      </w:r>
    </w:p>
    <w:p>
      <w:pPr>
        <w:spacing w:before="0" w:after="0" w:afterAutospacing="0"/>
        <w:ind w:left="0" w:right="0" w:firstLine="420" w:firstLineChars="200"/>
        <w:rPr>
          <w:rFonts w:ascii="宋体" w:hAnsi="宋体" w:cs="Arial"/>
        </w:rPr>
      </w:pPr>
      <w:r>
        <w:rPr>
          <w:rFonts w:hint="eastAsia" w:ascii="宋体" w:hAnsi="宋体" w:cs="Arial"/>
        </w:rPr>
        <w:t>10.1除非甲方与乙方双方签署书面修改书，否则不能对合同条款进行任何变更。如果合同另有约定，从其约定。</w:t>
      </w:r>
    </w:p>
    <w:p>
      <w:pPr>
        <w:spacing w:before="0" w:after="0" w:afterAutospacing="0"/>
        <w:ind w:left="0" w:right="0" w:firstLine="420" w:firstLineChars="200"/>
        <w:rPr>
          <w:rFonts w:ascii="宋体" w:hAnsi="宋体" w:cs="Arial"/>
        </w:rPr>
      </w:pPr>
      <w:r>
        <w:rPr>
          <w:rFonts w:hint="eastAsia" w:ascii="宋体" w:hAnsi="宋体" w:cs="Arial"/>
        </w:rPr>
        <w:t>10.2任何对合同条件的变更或修改均须根据双方协商达成的协议，以规定的标准修改书形式由双方授权代表签字盖章来完成，并作为本合同不可分割的组成部分，具有与合同本身同样的效力。</w:t>
      </w:r>
    </w:p>
    <w:p>
      <w:pPr>
        <w:spacing w:before="0" w:after="0" w:afterAutospacing="0"/>
        <w:ind w:left="0" w:right="0" w:firstLine="420" w:firstLineChars="200"/>
        <w:rPr>
          <w:rFonts w:ascii="宋体" w:hAnsi="宋体" w:cs="Arial"/>
        </w:rPr>
      </w:pPr>
      <w:r>
        <w:rPr>
          <w:rFonts w:hint="eastAsia" w:ascii="宋体" w:hAnsi="宋体" w:cs="Arial"/>
        </w:rPr>
        <w:t>10.3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spacing w:before="0" w:after="0" w:afterAutospacing="0"/>
        <w:ind w:left="0" w:right="0" w:firstLine="420" w:firstLineChars="200"/>
        <w:rPr>
          <w:rFonts w:ascii="宋体" w:hAnsi="宋体" w:cs="Arial"/>
        </w:rPr>
      </w:pPr>
      <w:r>
        <w:rPr>
          <w:rFonts w:hint="eastAsia" w:ascii="宋体" w:hAnsi="宋体" w:cs="Arial"/>
        </w:rPr>
        <w:t>10.4 变更费用的确认：</w:t>
      </w:r>
    </w:p>
    <w:p>
      <w:pPr>
        <w:spacing w:before="0" w:after="0" w:afterAutospacing="0"/>
        <w:ind w:left="0" w:right="0" w:firstLine="420" w:firstLineChars="200"/>
        <w:rPr>
          <w:rFonts w:ascii="宋体" w:hAnsi="宋体" w:cs="Arial"/>
        </w:rPr>
      </w:pPr>
      <w:r>
        <w:rPr>
          <w:rFonts w:hint="eastAsia" w:ascii="宋体" w:hAnsi="宋体" w:cs="Arial"/>
        </w:rPr>
        <w:t>10.4.1变更后的费用经甲乙双方协商确认后，如低于原合同价格，则按照变更后的费用来执行；</w:t>
      </w:r>
    </w:p>
    <w:p>
      <w:pPr>
        <w:spacing w:before="0" w:after="0" w:afterAutospacing="0"/>
        <w:ind w:left="0" w:right="0" w:firstLine="420" w:firstLineChars="200"/>
        <w:rPr>
          <w:rFonts w:ascii="宋体" w:hAnsi="宋体" w:cs="Arial"/>
        </w:rPr>
      </w:pPr>
      <w:r>
        <w:rPr>
          <w:rFonts w:hint="eastAsia" w:ascii="宋体" w:hAnsi="宋体" w:cs="Arial"/>
        </w:rPr>
        <w:t>10.4.2变更后的费用经甲乙双方协商确认后，如高于原合同价格，则按照原合同价格来执行。</w:t>
      </w:r>
    </w:p>
    <w:bookmarkEnd w:id="1156"/>
    <w:bookmarkEnd w:id="1157"/>
    <w:bookmarkEnd w:id="1158"/>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bookmarkStart w:id="1159" w:name="_Toc30479"/>
      <w:bookmarkStart w:id="1160" w:name="_Toc21774"/>
      <w:bookmarkStart w:id="1161" w:name="_Toc369786995"/>
      <w:bookmarkStart w:id="1162" w:name="_Toc437544548"/>
      <w:r>
        <w:rPr>
          <w:rFonts w:hint="eastAsia" w:ascii="黑体" w:hAnsi="黑体" w:eastAsia="黑体" w:cs="黑体"/>
          <w:b/>
          <w:kern w:val="2"/>
          <w:sz w:val="24"/>
          <w:szCs w:val="20"/>
        </w:rPr>
        <w:t>11.违约责任</w:t>
      </w:r>
      <w:bookmarkEnd w:id="1159"/>
      <w:bookmarkEnd w:id="1160"/>
      <w:bookmarkEnd w:id="1161"/>
      <w:bookmarkEnd w:id="1162"/>
    </w:p>
    <w:p>
      <w:pPr>
        <w:spacing w:before="0" w:after="0" w:afterAutospacing="0"/>
        <w:ind w:left="0" w:right="0" w:firstLine="420" w:firstLineChars="200"/>
        <w:rPr>
          <w:rFonts w:ascii="宋体" w:hAnsi="宋体" w:cs="Arial"/>
        </w:rPr>
      </w:pPr>
      <w:r>
        <w:rPr>
          <w:rFonts w:hint="eastAsia" w:ascii="宋体" w:hAnsi="宋体" w:cs="Arial"/>
        </w:rPr>
        <w:t>乙方在收到《</w:t>
      </w:r>
      <w:r>
        <w:rPr>
          <w:rFonts w:hint="eastAsia" w:ascii="宋体" w:hAnsi="宋体" w:cs="Arial"/>
          <w:lang w:val="en-US" w:eastAsia="zh-CN"/>
        </w:rPr>
        <w:t>运营公司委外项目</w:t>
      </w:r>
      <w:r>
        <w:rPr>
          <w:rFonts w:hint="eastAsia" w:ascii="宋体" w:hAnsi="宋体" w:cs="Arial"/>
        </w:rPr>
        <w:t>合同违约处理通知单》后，如有意见，在2个工作日可提出申诉，否则视为接受违约处理意见，甲方在收到申诉后5个工作日答复。</w:t>
      </w:r>
    </w:p>
    <w:p>
      <w:pPr>
        <w:spacing w:before="0" w:after="0" w:afterAutospacing="0"/>
        <w:ind w:left="0" w:right="0" w:firstLine="420" w:firstLineChars="200"/>
      </w:pPr>
      <w:r>
        <w:rPr>
          <w:rFonts w:hint="eastAsia" w:ascii="宋体" w:hAnsi="宋体" w:cs="Arial"/>
        </w:rPr>
        <w:t>乙方须支付相应的违约金，违约金在合同应付款中扣减。</w:t>
      </w:r>
    </w:p>
    <w:p>
      <w:pPr>
        <w:spacing w:before="0" w:after="0" w:afterAutospacing="0"/>
        <w:ind w:left="0" w:right="0" w:firstLine="420" w:firstLineChars="200"/>
        <w:rPr>
          <w:rFonts w:ascii="宋体" w:hAnsi="宋体" w:cs="Arial"/>
        </w:rPr>
      </w:pPr>
      <w:bookmarkStart w:id="1163" w:name="_Ref462913103"/>
      <w:r>
        <w:rPr>
          <w:rFonts w:hint="eastAsia" w:ascii="宋体" w:hAnsi="宋体" w:cs="Arial"/>
        </w:rPr>
        <w:t>11.1合同签订后，乙方不能完成合同规定的项目内容，则甲方扣除未完成合同总价格20%的违约金，同时甲方重新采购因价格差所造成的损失由乙方承担。</w:t>
      </w:r>
      <w:bookmarkEnd w:id="1163"/>
    </w:p>
    <w:p>
      <w:pPr>
        <w:spacing w:before="0" w:after="0" w:afterAutospacing="0"/>
        <w:ind w:left="0" w:right="0" w:firstLine="420" w:firstLineChars="200"/>
        <w:rPr>
          <w:rFonts w:ascii="宋体" w:hAnsi="宋体" w:cs="Arial"/>
        </w:rPr>
      </w:pPr>
      <w:bookmarkStart w:id="1164" w:name="_Ref462913114"/>
      <w:r>
        <w:rPr>
          <w:rFonts w:hint="eastAsia" w:ascii="宋体" w:hAnsi="宋体" w:cs="Arial"/>
        </w:rPr>
        <w:t>11.2乙方逾期完成合同规定的项目内容，每逾期一天，则甲方扣除未完成合同总价格0.5%的违约金，但该违约金累计不超过合同价格的15%；逾期超过30天仍不能完成服务的，甲方有权单方解除合同。</w:t>
      </w:r>
      <w:bookmarkEnd w:id="1164"/>
    </w:p>
    <w:p>
      <w:pPr>
        <w:spacing w:before="0" w:after="0" w:afterAutospacing="0"/>
        <w:ind w:left="0" w:right="0" w:firstLine="420" w:firstLineChars="200"/>
        <w:rPr>
          <w:rFonts w:ascii="宋体" w:hAnsi="宋体" w:cs="Arial"/>
        </w:rPr>
      </w:pPr>
      <w:r>
        <w:rPr>
          <w:rFonts w:hint="eastAsia" w:ascii="宋体" w:hAnsi="宋体" w:cs="Arial"/>
        </w:rPr>
        <w:t>11.3乙方提供服务不符合合同规定标准的，甲方有权拒收该服务，如乙方拒绝完成服务，按条款11.1处理；如乙方重新提供符合要求的服务但逾期完成服务的，按条款11.2处理。如因甲方原因导致乙方无法提供服务或服务不符合合同规定标准的，经甲乙双方协商后，可另行签订补充协议，乙方承诺如完成服务的质量不低于原合同的，按原合同价格结算。</w:t>
      </w:r>
    </w:p>
    <w:p>
      <w:pPr>
        <w:spacing w:before="0" w:after="0" w:afterAutospacing="0"/>
        <w:ind w:left="0" w:right="0" w:firstLine="420" w:firstLineChars="200"/>
        <w:rPr>
          <w:rFonts w:ascii="宋体" w:hAnsi="宋体" w:cs="Arial"/>
        </w:rPr>
      </w:pPr>
      <w:r>
        <w:rPr>
          <w:rFonts w:hint="eastAsia" w:ascii="宋体" w:hAnsi="宋体" w:cs="Arial"/>
        </w:rPr>
        <w:t>11.4乙方不履行服务义务或拖延履行服务义务，或乙方存在恶意磋商或虚假承诺等不正当竞争行为，课以合同总价格5%的违约金，同时甲方有权将乙方列入不良行为记录名单、一年内禁止其参加甲方的任何采购活动。</w:t>
      </w:r>
    </w:p>
    <w:p>
      <w:pPr>
        <w:spacing w:before="0" w:after="0" w:afterAutospacing="0"/>
        <w:ind w:left="0" w:right="0" w:firstLine="420" w:firstLineChars="200"/>
        <w:rPr>
          <w:rFonts w:ascii="宋体" w:hAnsi="宋体" w:cs="Arial"/>
        </w:rPr>
      </w:pPr>
      <w:r>
        <w:rPr>
          <w:rFonts w:hint="eastAsia" w:ascii="宋体" w:hAnsi="宋体" w:cs="Arial"/>
        </w:rPr>
        <w:t>11.5由于乙方所提供的服务质量不合格给甲方或第三方造成人身财产损失的，乙方应承担全部责任。</w:t>
      </w:r>
    </w:p>
    <w:p>
      <w:pPr>
        <w:spacing w:before="0" w:after="0" w:afterAutospacing="0"/>
        <w:ind w:left="0" w:right="0" w:firstLine="420" w:firstLineChars="200"/>
        <w:rPr>
          <w:rFonts w:ascii="宋体" w:hAnsi="宋体" w:cs="Arial"/>
        </w:rPr>
      </w:pPr>
      <w:r>
        <w:rPr>
          <w:rFonts w:hint="eastAsia" w:ascii="宋体" w:hAnsi="宋体" w:cs="Arial"/>
        </w:rPr>
        <w:t>11.6乙方违反其他合同条款的，课以合同价格5%的违约金。</w:t>
      </w:r>
    </w:p>
    <w:p>
      <w:pPr>
        <w:spacing w:before="0" w:after="0" w:afterAutospacing="0"/>
        <w:ind w:left="0" w:right="0" w:firstLine="420" w:firstLineChars="200"/>
        <w:rPr>
          <w:rFonts w:ascii="宋体" w:hAnsi="宋体" w:cs="Arial"/>
        </w:rPr>
      </w:pPr>
      <w:r>
        <w:rPr>
          <w:rFonts w:hint="eastAsia" w:ascii="宋体" w:hAnsi="宋体" w:cs="Arial"/>
        </w:rPr>
        <w:t>11.7因乙方原因解除合同的，应向甲方支付合同价格10%的违约金，如造成甲方损失的，乙方应承担赔偿责任。</w:t>
      </w:r>
    </w:p>
    <w:p>
      <w:pPr>
        <w:spacing w:before="0" w:after="0" w:afterAutospacing="0"/>
        <w:ind w:left="0" w:right="0" w:firstLine="420" w:firstLineChars="200"/>
        <w:rPr>
          <w:rFonts w:ascii="宋体" w:hAnsi="宋体" w:cs="Arial"/>
        </w:rPr>
      </w:pPr>
      <w:r>
        <w:rPr>
          <w:rFonts w:hint="eastAsia" w:ascii="宋体" w:hAnsi="宋体" w:cs="Arial"/>
        </w:rPr>
        <w:t>11.8本合同中所列的违约金和赔偿款，甲方有权从合同款中扣除。所有违约金和赔偿款的支付，不免除乙方继续履行合同义务，也不减轻乙方合同项下的其他责任和义务。</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12.合同期评价</w:t>
      </w:r>
    </w:p>
    <w:p>
      <w:pPr>
        <w:spacing w:before="0" w:after="0" w:afterAutospacing="0"/>
        <w:ind w:left="0" w:right="0" w:firstLine="420" w:firstLineChars="200"/>
        <w:rPr>
          <w:rFonts w:ascii="宋体" w:hAnsi="宋体" w:cs="Arial"/>
        </w:rPr>
      </w:pPr>
      <w:r>
        <w:rPr>
          <w:rFonts w:ascii="宋体" w:hAnsi="宋体" w:cs="Arial"/>
        </w:rPr>
        <w:t>凡涉及以下任一条款，则甲方有权行使一票否决制，考核评定不合格，甲方有权随时终止合同。</w:t>
      </w:r>
    </w:p>
    <w:p>
      <w:pPr>
        <w:spacing w:before="0" w:after="0" w:afterAutospacing="0"/>
        <w:ind w:left="0" w:right="0" w:firstLine="420" w:firstLineChars="200"/>
        <w:rPr>
          <w:rFonts w:ascii="宋体" w:hAnsi="宋体" w:cs="Arial"/>
        </w:rPr>
      </w:pPr>
      <w:r>
        <w:rPr>
          <w:rFonts w:hint="eastAsia" w:ascii="宋体" w:hAnsi="宋体" w:cs="Arial"/>
        </w:rPr>
        <w:t>12</w:t>
      </w:r>
      <w:r>
        <w:rPr>
          <w:rFonts w:ascii="宋体" w:hAnsi="宋体" w:cs="Arial"/>
        </w:rPr>
        <w:t>.1对外透露保密性的信息，情节严重。</w:t>
      </w:r>
    </w:p>
    <w:p>
      <w:pPr>
        <w:spacing w:before="0" w:after="0" w:afterAutospacing="0"/>
        <w:ind w:left="0" w:right="0" w:firstLine="420" w:firstLineChars="200"/>
        <w:rPr>
          <w:rFonts w:ascii="宋体" w:hAnsi="宋体" w:cs="Arial"/>
        </w:rPr>
      </w:pPr>
      <w:r>
        <w:rPr>
          <w:rFonts w:hint="eastAsia" w:ascii="宋体" w:hAnsi="宋体" w:cs="Arial"/>
        </w:rPr>
        <w:t>12</w:t>
      </w:r>
      <w:r>
        <w:rPr>
          <w:rFonts w:ascii="宋体" w:hAnsi="宋体" w:cs="Arial"/>
        </w:rPr>
        <w:t>.</w:t>
      </w:r>
      <w:r>
        <w:rPr>
          <w:rFonts w:hint="eastAsia" w:ascii="宋体" w:hAnsi="宋体" w:cs="Arial"/>
        </w:rPr>
        <w:t>2</w:t>
      </w:r>
      <w:r>
        <w:rPr>
          <w:rFonts w:ascii="宋体" w:hAnsi="宋体" w:cs="Arial"/>
        </w:rPr>
        <w:t>因乙方责任造成解除合同的，由乙方承担相应的责任，并赔偿相应损失。</w:t>
      </w:r>
    </w:p>
    <w:p>
      <w:pPr>
        <w:spacing w:before="0" w:after="0" w:afterAutospacing="0"/>
        <w:ind w:left="0" w:right="0" w:firstLine="420" w:firstLineChars="200"/>
        <w:rPr>
          <w:rFonts w:ascii="宋体" w:hAnsi="宋体" w:cs="Arial"/>
        </w:rPr>
      </w:pPr>
      <w:r>
        <w:rPr>
          <w:rFonts w:hint="eastAsia" w:ascii="宋体" w:hAnsi="宋体" w:cs="Arial"/>
        </w:rPr>
        <w:t>12</w:t>
      </w:r>
      <w:r>
        <w:rPr>
          <w:rFonts w:ascii="宋体" w:hAnsi="宋体" w:cs="Arial"/>
        </w:rPr>
        <w:t>.</w:t>
      </w:r>
      <w:r>
        <w:rPr>
          <w:rFonts w:hint="eastAsia" w:ascii="宋体" w:hAnsi="宋体" w:cs="Arial"/>
        </w:rPr>
        <w:t>3</w:t>
      </w:r>
      <w:r>
        <w:rPr>
          <w:rFonts w:ascii="宋体" w:hAnsi="宋体" w:cs="Arial"/>
        </w:rPr>
        <w:t>乙方有责任保证</w:t>
      </w:r>
      <w:r>
        <w:rPr>
          <w:rFonts w:hint="eastAsia" w:ascii="宋体" w:hAnsi="宋体" w:cs="Arial"/>
        </w:rPr>
        <w:t>检测设备</w:t>
      </w:r>
      <w:r>
        <w:rPr>
          <w:rFonts w:ascii="宋体" w:hAnsi="宋体" w:cs="Arial"/>
        </w:rPr>
        <w:t>质量达到国家相关质量标准，并在合同执行过程中严格遵守甲方各项管理规定、要求。</w:t>
      </w:r>
    </w:p>
    <w:p>
      <w:pPr>
        <w:spacing w:before="0" w:after="0" w:afterAutospacing="0"/>
        <w:ind w:left="0" w:right="0" w:firstLine="420" w:firstLineChars="200"/>
        <w:rPr>
          <w:rFonts w:ascii="宋体" w:hAnsi="宋体" w:cs="Arial"/>
        </w:rPr>
      </w:pPr>
      <w:r>
        <w:rPr>
          <w:rFonts w:hint="eastAsia" w:ascii="宋体" w:hAnsi="宋体" w:cs="Arial"/>
        </w:rPr>
        <w:t>12</w:t>
      </w:r>
      <w:r>
        <w:rPr>
          <w:rFonts w:ascii="宋体" w:hAnsi="宋体" w:cs="Arial"/>
        </w:rPr>
        <w:t>.</w:t>
      </w:r>
      <w:r>
        <w:rPr>
          <w:rFonts w:hint="eastAsia" w:ascii="宋体" w:hAnsi="宋体" w:cs="Arial"/>
        </w:rPr>
        <w:t>4</w:t>
      </w:r>
      <w:r>
        <w:rPr>
          <w:rFonts w:ascii="宋体" w:hAnsi="宋体" w:cs="Arial"/>
        </w:rPr>
        <w:t>乙方在收到考核单后，如有意见，在三个工作日可提出申诉，甲方在收到申诉后三个工作日答复，乙方在三个工作日内必须签字盖章返回，若因此导致甲方支付款项延时，责任由乙方自行承担。</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13.违约处理</w:t>
      </w:r>
    </w:p>
    <w:p>
      <w:pPr>
        <w:spacing w:before="0" w:after="0" w:afterAutospacing="0"/>
        <w:ind w:left="0" w:right="0" w:firstLine="420" w:firstLineChars="200"/>
        <w:rPr>
          <w:rFonts w:ascii="宋体" w:hAnsi="宋体" w:cs="Arial"/>
        </w:rPr>
      </w:pPr>
      <w:r>
        <w:rPr>
          <w:rFonts w:hint="eastAsia" w:ascii="宋体" w:hAnsi="宋体" w:cs="Arial"/>
        </w:rPr>
        <w:t>13</w:t>
      </w:r>
      <w:r>
        <w:rPr>
          <w:rFonts w:ascii="宋体" w:hAnsi="宋体" w:cs="Arial"/>
        </w:rPr>
        <w:t>.1因乙方原因造成一般事件C类及以上的，课以甲方受考核的金额或者合同总价款的5%作为违约金，以两者考核金额大的进行考核，且甲方有权根据影响程度追加考核，因此造成的其他损失甲方有权向乙方索赔。</w:t>
      </w:r>
    </w:p>
    <w:p>
      <w:pPr>
        <w:spacing w:before="0" w:after="0" w:afterAutospacing="0"/>
        <w:ind w:left="0" w:right="0" w:firstLine="420" w:firstLineChars="200"/>
        <w:rPr>
          <w:rFonts w:ascii="宋体" w:hAnsi="宋体" w:cs="Arial"/>
        </w:rPr>
      </w:pPr>
      <w:r>
        <w:rPr>
          <w:rFonts w:hint="eastAsia" w:ascii="宋体" w:hAnsi="宋体" w:cs="Arial"/>
        </w:rPr>
        <w:t>13</w:t>
      </w:r>
      <w:r>
        <w:rPr>
          <w:rFonts w:ascii="宋体" w:hAnsi="宋体" w:cs="Arial"/>
        </w:rPr>
        <w:t>.2因乙方原因导致甲方主办部门被考核的，课以违约金1000元/次；因乙方原因导致安全事件（一般事件C类以下）的，课以违约金1500元/次。</w:t>
      </w:r>
    </w:p>
    <w:p>
      <w:pPr>
        <w:spacing w:before="0" w:after="0" w:afterAutospacing="0"/>
        <w:ind w:left="0" w:right="0" w:firstLine="420" w:firstLineChars="200"/>
        <w:rPr>
          <w:rFonts w:ascii="宋体" w:hAnsi="宋体" w:cs="Arial"/>
        </w:rPr>
      </w:pPr>
      <w:r>
        <w:rPr>
          <w:rFonts w:hint="eastAsia" w:ascii="宋体" w:hAnsi="宋体" w:cs="Arial"/>
        </w:rPr>
        <w:t>13</w:t>
      </w:r>
      <w:r>
        <w:rPr>
          <w:rFonts w:ascii="宋体" w:hAnsi="宋体" w:cs="Arial"/>
        </w:rPr>
        <w:t>.3因乙方原因造成甲方或第三方财产损失或人身伤害的，对甲方造成不良影响的，课以违约金5000元/次，并负责赔偿甲方或第三方相关损失以及因此产生的诉讼费、律师费等一切费用。</w:t>
      </w:r>
    </w:p>
    <w:p>
      <w:pPr>
        <w:spacing w:before="0" w:after="0" w:afterAutospacing="0"/>
        <w:ind w:left="0" w:right="0" w:firstLine="420" w:firstLineChars="200"/>
        <w:rPr>
          <w:rFonts w:hint="eastAsia" w:ascii="宋体" w:hAnsi="宋体" w:cs="Arial"/>
          <w:lang w:eastAsia="zh-CN"/>
        </w:rPr>
      </w:pPr>
      <w:r>
        <w:rPr>
          <w:rFonts w:hint="eastAsia" w:ascii="宋体" w:hAnsi="宋体" w:cs="Arial"/>
        </w:rPr>
        <w:t>13</w:t>
      </w:r>
      <w:r>
        <w:rPr>
          <w:rFonts w:ascii="宋体" w:hAnsi="宋体" w:cs="Arial"/>
        </w:rPr>
        <w:t>.4合同签订之后，未经甲方书面同意，乙方擅自更换项目经理的，视为乙方违约，并课以违约金1000</w:t>
      </w:r>
      <w:r>
        <w:rPr>
          <w:rFonts w:hint="eastAsia" w:ascii="宋体" w:hAnsi="宋体" w:cs="Arial"/>
        </w:rPr>
        <w:t>0</w:t>
      </w:r>
      <w:r>
        <w:rPr>
          <w:rFonts w:ascii="宋体" w:hAnsi="宋体" w:cs="Arial"/>
        </w:rPr>
        <w:t>元/人/次；乙方擅自更换项目</w:t>
      </w:r>
      <w:r>
        <w:rPr>
          <w:rFonts w:hint="eastAsia" w:ascii="宋体" w:hAnsi="宋体" w:cs="Arial"/>
        </w:rPr>
        <w:t>技术</w:t>
      </w:r>
      <w:r>
        <w:rPr>
          <w:rFonts w:ascii="宋体" w:hAnsi="宋体" w:cs="Arial"/>
        </w:rPr>
        <w:t>人员的，视为乙方违约，并课以违约金500</w:t>
      </w:r>
      <w:r>
        <w:rPr>
          <w:rFonts w:hint="eastAsia" w:ascii="宋体" w:hAnsi="宋体" w:cs="Arial"/>
        </w:rPr>
        <w:t>0</w:t>
      </w:r>
      <w:r>
        <w:rPr>
          <w:rFonts w:ascii="宋体" w:hAnsi="宋体" w:cs="Arial"/>
        </w:rPr>
        <w:t>元/人/次</w:t>
      </w:r>
      <w:r>
        <w:rPr>
          <w:rFonts w:hint="eastAsia" w:ascii="宋体" w:hAnsi="宋体" w:cs="Arial"/>
          <w:lang w:eastAsia="zh-CN"/>
        </w:rPr>
        <w:t>。</w:t>
      </w:r>
    </w:p>
    <w:p>
      <w:pPr>
        <w:spacing w:before="0" w:after="0" w:afterAutospacing="0"/>
        <w:ind w:left="0" w:right="0" w:firstLine="420" w:firstLineChars="200"/>
        <w:rPr>
          <w:rFonts w:hint="eastAsia" w:ascii="宋体" w:hAnsi="宋体" w:eastAsia="宋体" w:cs="Arial"/>
          <w:highlight w:val="none"/>
          <w:lang w:eastAsia="zh-CN"/>
        </w:rPr>
      </w:pPr>
      <w:r>
        <w:rPr>
          <w:rFonts w:hint="eastAsia" w:ascii="宋体" w:hAnsi="宋体" w:cs="Arial"/>
          <w:highlight w:val="none"/>
          <w:lang w:val="en-US" w:eastAsia="zh-CN"/>
        </w:rPr>
        <w:t>13.5</w:t>
      </w:r>
      <w:r>
        <w:rPr>
          <w:rFonts w:hint="eastAsia" w:ascii="宋体" w:hAnsi="宋体" w:cs="Arial"/>
          <w:highlight w:val="none"/>
          <w:lang w:eastAsia="zh-CN"/>
        </w:rPr>
        <w:t>如</w:t>
      </w:r>
      <w:r>
        <w:rPr>
          <w:rFonts w:hint="eastAsia" w:ascii="宋体" w:hAnsi="宋体" w:cs="Arial"/>
          <w:highlight w:val="none"/>
          <w:lang w:val="en-US" w:eastAsia="zh-CN"/>
        </w:rPr>
        <w:t>甲方发现</w:t>
      </w:r>
      <w:r>
        <w:rPr>
          <w:rFonts w:hint="eastAsia" w:ascii="宋体" w:hAnsi="宋体" w:cs="Arial"/>
          <w:highlight w:val="none"/>
          <w:lang w:eastAsia="zh-CN"/>
        </w:rPr>
        <w:t>乙方出具</w:t>
      </w:r>
      <w:r>
        <w:rPr>
          <w:rFonts w:hint="eastAsia" w:ascii="宋体" w:hAnsi="宋体" w:cs="Arial"/>
          <w:highlight w:val="none"/>
          <w:lang w:val="en-US" w:eastAsia="zh-CN"/>
        </w:rPr>
        <w:t>的</w:t>
      </w:r>
      <w:r>
        <w:rPr>
          <w:rFonts w:hint="eastAsia" w:ascii="宋体" w:hAnsi="宋体" w:cs="Arial"/>
          <w:highlight w:val="none"/>
          <w:lang w:eastAsia="zh-CN"/>
        </w:rPr>
        <w:t>成果报告准确性、真实性存在问题（</w:t>
      </w:r>
      <w:r>
        <w:rPr>
          <w:rFonts w:hint="eastAsia" w:ascii="宋体" w:hAnsi="宋体" w:cs="Arial"/>
          <w:highlight w:val="none"/>
          <w:lang w:val="en-US" w:eastAsia="zh-CN"/>
        </w:rPr>
        <w:t>如成果报告造假</w:t>
      </w:r>
      <w:r>
        <w:rPr>
          <w:rFonts w:hint="eastAsia" w:ascii="宋体" w:hAnsi="宋体" w:cs="Arial"/>
          <w:highlight w:val="none"/>
          <w:lang w:eastAsia="zh-CN"/>
        </w:rPr>
        <w:t>），</w:t>
      </w:r>
      <w:r>
        <w:rPr>
          <w:rFonts w:hint="eastAsia" w:ascii="宋体" w:hAnsi="宋体" w:cs="Arial"/>
          <w:highlight w:val="none"/>
          <w:lang w:val="en-US" w:eastAsia="zh-CN"/>
        </w:rPr>
        <w:t>乙方</w:t>
      </w:r>
      <w:r>
        <w:rPr>
          <w:rFonts w:hint="eastAsia" w:ascii="宋体" w:hAnsi="宋体" w:cs="Arial"/>
          <w:highlight w:val="none"/>
        </w:rPr>
        <w:t>应向甲方支付合同价格</w:t>
      </w:r>
      <w:r>
        <w:rPr>
          <w:rFonts w:hint="eastAsia" w:ascii="宋体" w:hAnsi="宋体" w:cs="Arial"/>
          <w:highlight w:val="none"/>
          <w:lang w:val="en-US" w:eastAsia="zh-CN"/>
        </w:rPr>
        <w:t>8</w:t>
      </w:r>
      <w:r>
        <w:rPr>
          <w:rFonts w:hint="eastAsia" w:ascii="宋体" w:hAnsi="宋体" w:cs="Arial"/>
          <w:highlight w:val="none"/>
        </w:rPr>
        <w:t>0%的违约金</w:t>
      </w:r>
      <w:r>
        <w:rPr>
          <w:rFonts w:hint="eastAsia" w:ascii="宋体" w:hAnsi="宋体" w:cs="Arial"/>
          <w:highlight w:val="none"/>
          <w:lang w:eastAsia="zh-CN"/>
        </w:rPr>
        <w:t>，</w:t>
      </w:r>
      <w:r>
        <w:rPr>
          <w:rFonts w:hint="eastAsia" w:ascii="宋体" w:hAnsi="宋体" w:cs="Arial"/>
          <w:highlight w:val="none"/>
          <w:lang w:val="en-US" w:eastAsia="zh-CN"/>
        </w:rPr>
        <w:t>且</w:t>
      </w:r>
      <w:r>
        <w:rPr>
          <w:rFonts w:ascii="宋体" w:hAnsi="宋体" w:cs="Arial"/>
          <w:highlight w:val="none"/>
        </w:rPr>
        <w:t>甲方有权根据影响程度追加</w:t>
      </w:r>
      <w:r>
        <w:rPr>
          <w:rFonts w:hint="eastAsia" w:ascii="宋体" w:hAnsi="宋体" w:cs="Arial"/>
          <w:highlight w:val="none"/>
          <w:lang w:eastAsia="zh-CN"/>
        </w:rPr>
        <w:t>乙方责任</w:t>
      </w:r>
      <w:r>
        <w:rPr>
          <w:rFonts w:ascii="宋体" w:hAnsi="宋体" w:cs="Arial"/>
          <w:highlight w:val="none"/>
        </w:rPr>
        <w:t>，因此造成的其他损失甲方有权向乙方索赔。</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14.验收</w:t>
      </w:r>
    </w:p>
    <w:p>
      <w:pPr>
        <w:spacing w:before="0" w:after="0" w:afterAutospacing="0"/>
        <w:ind w:left="0" w:right="0" w:firstLine="420" w:firstLineChars="200"/>
        <w:rPr>
          <w:rFonts w:ascii="宋体" w:hAnsi="宋体" w:cs="Arial"/>
        </w:rPr>
      </w:pPr>
      <w:r>
        <w:rPr>
          <w:rFonts w:hint="eastAsia" w:ascii="宋体" w:hAnsi="宋体" w:cs="宋体"/>
          <w:color w:val="000000"/>
          <w:lang w:bidi="ar"/>
        </w:rPr>
        <w:t>按技术规格书中</w:t>
      </w:r>
      <w:r>
        <w:rPr>
          <w:rFonts w:ascii="宋体" w:hAnsi="宋体" w:cs="宋体"/>
          <w:color w:val="000000"/>
          <w:lang w:bidi="ar"/>
        </w:rPr>
        <w:t>“七、项目验收内容”的内容</w:t>
      </w:r>
      <w:r>
        <w:rPr>
          <w:rFonts w:hint="eastAsia" w:ascii="宋体" w:hAnsi="宋体" w:cs="宋体"/>
          <w:color w:val="000000"/>
          <w:lang w:bidi="ar"/>
        </w:rPr>
        <w:t>进行验收</w:t>
      </w:r>
      <w:r>
        <w:rPr>
          <w:rFonts w:ascii="宋体" w:hAnsi="宋体" w:cs="宋体"/>
          <w:color w:val="000000"/>
          <w:lang w:bidi="ar"/>
        </w:rPr>
        <w:t>。</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15.质量标准、工期和质保</w:t>
      </w:r>
    </w:p>
    <w:p>
      <w:pPr>
        <w:spacing w:before="0" w:after="0" w:afterAutospacing="0"/>
        <w:ind w:left="0" w:right="0" w:firstLine="420" w:firstLineChars="200"/>
        <w:rPr>
          <w:rFonts w:ascii="宋体" w:hAnsi="宋体" w:cs="Arial"/>
        </w:rPr>
      </w:pPr>
      <w:r>
        <w:rPr>
          <w:rFonts w:hint="eastAsia" w:ascii="宋体" w:hAnsi="宋体" w:cs="Arial"/>
        </w:rPr>
        <w:t>15.1乙方交付的项目的质量、工期、质保等应符合合同规定的标准。如合同规定的标准低于国家或行业标准，或未提及适用标准，则按国家标准或行业标准的较高标准执行。这些标准必须是有关机构发布的最新有效版本的标准。</w:t>
      </w:r>
    </w:p>
    <w:p>
      <w:pPr>
        <w:spacing w:before="0" w:after="0" w:afterAutospacing="0"/>
        <w:ind w:left="0" w:right="0" w:firstLine="420" w:firstLineChars="200"/>
        <w:rPr>
          <w:rFonts w:ascii="宋体" w:hAnsi="宋体" w:cs="Arial"/>
        </w:rPr>
      </w:pPr>
      <w:r>
        <w:rPr>
          <w:rFonts w:hint="eastAsia" w:ascii="宋体" w:hAnsi="宋体" w:cs="Arial"/>
        </w:rPr>
        <w:t>15.2本合同项下的工期：</w:t>
      </w:r>
      <w:r>
        <w:rPr>
          <w:rFonts w:hint="eastAsia" w:ascii="宋体" w:hAnsi="宋体" w:cs="Arial"/>
          <w:lang w:val="en-US" w:eastAsia="zh-CN"/>
        </w:rPr>
        <w:t>自</w:t>
      </w:r>
      <w:r>
        <w:rPr>
          <w:rFonts w:hint="eastAsia" w:ascii="宋体" w:hAnsi="宋体" w:cs="Arial"/>
        </w:rPr>
        <w:t>合同签订之日起共</w:t>
      </w:r>
      <w:r>
        <w:rPr>
          <w:rFonts w:hint="eastAsia" w:ascii="宋体" w:hAnsi="宋体" w:cs="Arial"/>
          <w:lang w:val="en-US" w:eastAsia="zh-CN"/>
        </w:rPr>
        <w:t>计</w:t>
      </w:r>
      <w:r>
        <w:rPr>
          <w:rFonts w:hint="eastAsia" w:ascii="宋体" w:hAnsi="宋体" w:cs="Arial"/>
        </w:rPr>
        <w:t>6个月。</w:t>
      </w:r>
    </w:p>
    <w:p>
      <w:pPr>
        <w:spacing w:before="0" w:after="0" w:afterAutospacing="0"/>
        <w:ind w:left="0" w:right="0" w:firstLine="420" w:firstLineChars="200"/>
        <w:rPr>
          <w:rFonts w:hint="eastAsia" w:ascii="宋体" w:hAnsi="宋体" w:eastAsia="宋体" w:cs="Arial"/>
          <w:lang w:val="en-US" w:eastAsia="zh-CN"/>
        </w:rPr>
      </w:pPr>
      <w:r>
        <w:rPr>
          <w:rFonts w:hint="eastAsia" w:ascii="宋体" w:hAnsi="宋体" w:cs="Arial"/>
        </w:rPr>
        <w:t>15.3项目质保期：无。</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bookmarkStart w:id="1165" w:name="_Toc437544549"/>
      <w:bookmarkStart w:id="1166" w:name="_Toc10636"/>
      <w:bookmarkStart w:id="1167" w:name="_Toc23641"/>
      <w:bookmarkStart w:id="1168" w:name="_Toc369786996"/>
      <w:r>
        <w:rPr>
          <w:rFonts w:hint="eastAsia" w:ascii="黑体" w:hAnsi="黑体" w:eastAsia="黑体" w:cs="黑体"/>
          <w:b/>
          <w:kern w:val="2"/>
          <w:sz w:val="24"/>
          <w:szCs w:val="20"/>
        </w:rPr>
        <w:t>16.合同解除和终止</w:t>
      </w:r>
    </w:p>
    <w:p>
      <w:pPr>
        <w:tabs>
          <w:tab w:val="left" w:pos="1120"/>
        </w:tabs>
        <w:spacing w:before="0" w:after="0" w:afterAutospacing="0"/>
        <w:ind w:left="0" w:right="0" w:firstLine="420" w:firstLineChars="200"/>
        <w:rPr>
          <w:rFonts w:cs="宋体"/>
        </w:rPr>
      </w:pPr>
      <w:r>
        <w:rPr>
          <w:rFonts w:hint="eastAsia" w:ascii="宋体" w:hAnsi="宋体"/>
        </w:rPr>
        <w:t>16.1</w:t>
      </w:r>
      <w:r>
        <w:rPr>
          <w:rFonts w:hint="eastAsia" w:cs="宋体"/>
        </w:rPr>
        <w:t>合同自然终止</w:t>
      </w:r>
    </w:p>
    <w:p>
      <w:pPr>
        <w:tabs>
          <w:tab w:val="left" w:pos="1120"/>
        </w:tabs>
        <w:spacing w:before="0" w:after="0" w:afterAutospacing="0"/>
        <w:ind w:left="0" w:right="0" w:firstLine="420" w:firstLineChars="200"/>
        <w:rPr>
          <w:rFonts w:ascii="宋体" w:hAnsi="宋体"/>
        </w:rPr>
      </w:pPr>
      <w:r>
        <w:rPr>
          <w:rFonts w:hint="eastAsia" w:cs="宋体"/>
        </w:rPr>
        <w:t>甲乙双方各自完成合同规定的责任和义务或发生不可抗力，合同自然终止。</w:t>
      </w:r>
    </w:p>
    <w:p>
      <w:pPr>
        <w:tabs>
          <w:tab w:val="left" w:pos="1120"/>
        </w:tabs>
        <w:spacing w:before="0" w:after="0" w:afterAutospacing="0"/>
        <w:ind w:left="0" w:right="0" w:firstLine="420" w:firstLineChars="200"/>
        <w:rPr>
          <w:rFonts w:cs="宋体"/>
        </w:rPr>
      </w:pPr>
      <w:r>
        <w:rPr>
          <w:rFonts w:hint="eastAsia" w:ascii="宋体" w:hAnsi="宋体"/>
        </w:rPr>
        <w:t xml:space="preserve">16.2 </w:t>
      </w:r>
      <w:r>
        <w:rPr>
          <w:rFonts w:hint="eastAsia" w:cs="宋体"/>
        </w:rPr>
        <w:t>违约违规终止合同</w:t>
      </w:r>
    </w:p>
    <w:p>
      <w:pPr>
        <w:tabs>
          <w:tab w:val="left" w:pos="540"/>
          <w:tab w:val="left" w:pos="960"/>
        </w:tabs>
        <w:spacing w:before="0" w:after="0" w:afterAutospacing="0"/>
        <w:ind w:left="0" w:right="0" w:firstLine="420" w:firstLineChars="200"/>
        <w:rPr>
          <w:rFonts w:ascii="宋体" w:hAnsi="宋体"/>
        </w:rPr>
      </w:pPr>
      <w:r>
        <w:rPr>
          <w:rFonts w:ascii="宋体" w:hAnsi="宋体"/>
        </w:rPr>
        <w:t>1</w:t>
      </w:r>
      <w:r>
        <w:rPr>
          <w:rFonts w:hint="eastAsia" w:ascii="宋体" w:hAnsi="宋体"/>
        </w:rPr>
        <w:t>6</w:t>
      </w:r>
      <w:r>
        <w:rPr>
          <w:rFonts w:ascii="宋体" w:hAnsi="宋体"/>
        </w:rPr>
        <w:t>.2.1</w:t>
      </w:r>
      <w:r>
        <w:rPr>
          <w:rFonts w:hint="eastAsia" w:ascii="宋体" w:hAnsi="宋体"/>
        </w:rPr>
        <w:t>在合同有效期内，如发现乙方违法分包、转包或挂靠，或前期存在围标串标或提供虚假资料情形的，甲方将单方终止合同，乙方须承担违约责任、赔偿甲方的一切经济损失。</w:t>
      </w:r>
    </w:p>
    <w:p>
      <w:pPr>
        <w:tabs>
          <w:tab w:val="left" w:pos="540"/>
          <w:tab w:val="left" w:pos="960"/>
        </w:tabs>
        <w:spacing w:before="0" w:after="0" w:afterAutospacing="0"/>
        <w:ind w:left="0" w:right="0" w:firstLine="420" w:firstLineChars="200"/>
        <w:rPr>
          <w:rFonts w:ascii="宋体" w:hAnsi="宋体"/>
        </w:rPr>
      </w:pPr>
      <w:r>
        <w:rPr>
          <w:rFonts w:ascii="宋体" w:hAnsi="宋体"/>
        </w:rPr>
        <w:t>1</w:t>
      </w:r>
      <w:r>
        <w:rPr>
          <w:rFonts w:hint="eastAsia" w:ascii="宋体" w:hAnsi="宋体"/>
        </w:rPr>
        <w:t>6</w:t>
      </w:r>
      <w:r>
        <w:rPr>
          <w:rFonts w:ascii="宋体" w:hAnsi="宋体"/>
        </w:rPr>
        <w:t>.2.2</w:t>
      </w:r>
      <w:r>
        <w:rPr>
          <w:rFonts w:hint="eastAsia" w:ascii="宋体" w:hAnsi="宋体"/>
        </w:rPr>
        <w:t>合同成立后，若乙方不按合同履行职责导致对甲方安全运营、名誉、形象等造成影响，甲方有权终止合同。</w:t>
      </w:r>
    </w:p>
    <w:p>
      <w:pPr>
        <w:tabs>
          <w:tab w:val="left" w:pos="540"/>
          <w:tab w:val="left" w:pos="960"/>
        </w:tabs>
        <w:spacing w:before="0" w:after="0" w:afterAutospacing="0"/>
        <w:ind w:left="0" w:right="0" w:firstLine="420" w:firstLineChars="200"/>
        <w:rPr>
          <w:rFonts w:ascii="黑体" w:hAnsi="黑体" w:eastAsia="黑体" w:cs="黑体"/>
          <w:b/>
          <w:kern w:val="2"/>
          <w:sz w:val="24"/>
          <w:szCs w:val="20"/>
        </w:rPr>
      </w:pPr>
      <w:r>
        <w:rPr>
          <w:rFonts w:ascii="宋体" w:hAnsi="宋体"/>
        </w:rPr>
        <w:t>1</w:t>
      </w:r>
      <w:r>
        <w:rPr>
          <w:rFonts w:hint="eastAsia" w:ascii="宋体" w:hAnsi="宋体"/>
        </w:rPr>
        <w:t>6</w:t>
      </w:r>
      <w:r>
        <w:rPr>
          <w:rFonts w:ascii="宋体" w:hAnsi="宋体"/>
        </w:rPr>
        <w:t>.</w:t>
      </w:r>
      <w:r>
        <w:rPr>
          <w:rFonts w:hint="eastAsia" w:ascii="宋体" w:hAnsi="宋体"/>
        </w:rPr>
        <w:t>2</w:t>
      </w:r>
      <w:r>
        <w:rPr>
          <w:rFonts w:ascii="宋体" w:hAnsi="宋体"/>
        </w:rPr>
        <w:t xml:space="preserve">.3 </w:t>
      </w:r>
      <w:r>
        <w:rPr>
          <w:rFonts w:hint="eastAsia" w:ascii="宋体" w:hAnsi="宋体"/>
        </w:rPr>
        <w:t>按照</w:t>
      </w:r>
      <w:r>
        <w:rPr>
          <w:rFonts w:ascii="宋体" w:hAnsi="宋体"/>
          <w:u w:val="single"/>
        </w:rPr>
        <w:t xml:space="preserve">  </w:t>
      </w:r>
      <w:r>
        <w:rPr>
          <w:rFonts w:hint="eastAsia" w:ascii="宋体" w:hAnsi="宋体"/>
          <w:u w:val="single"/>
        </w:rPr>
        <w:t>“12.合同期评价、13.违约处理”</w:t>
      </w:r>
      <w:r>
        <w:rPr>
          <w:rFonts w:ascii="宋体" w:hAnsi="宋体"/>
          <w:u w:val="single"/>
        </w:rPr>
        <w:t xml:space="preserve">  </w:t>
      </w:r>
      <w:r>
        <w:rPr>
          <w:rFonts w:hint="eastAsia" w:ascii="宋体" w:hAnsi="宋体"/>
        </w:rPr>
        <w:t>中甲方有权解除（终止）合同的情形。</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15.不可抗力</w:t>
      </w:r>
      <w:bookmarkEnd w:id="1165"/>
      <w:bookmarkEnd w:id="1166"/>
      <w:bookmarkEnd w:id="1167"/>
      <w:bookmarkEnd w:id="1168"/>
    </w:p>
    <w:p>
      <w:pPr>
        <w:tabs>
          <w:tab w:val="left" w:pos="1120"/>
        </w:tabs>
        <w:spacing w:before="0" w:after="0" w:afterAutospacing="0"/>
        <w:ind w:left="0" w:right="0" w:firstLine="420" w:firstLineChars="200"/>
        <w:rPr>
          <w:rFonts w:ascii="宋体" w:hAnsi="宋体"/>
        </w:rPr>
      </w:pPr>
      <w:bookmarkStart w:id="1169" w:name="_Toc369786997"/>
      <w:bookmarkStart w:id="1170" w:name="_Toc437544550"/>
      <w:bookmarkStart w:id="1171" w:name="_Toc6012"/>
      <w:bookmarkStart w:id="1172" w:name="_Toc5754"/>
      <w:r>
        <w:rPr>
          <w:rFonts w:hint="eastAsia" w:ascii="宋体" w:hAnsi="宋体"/>
        </w:rPr>
        <w:t>15.1 不可抗力的确认</w:t>
      </w:r>
    </w:p>
    <w:p>
      <w:pPr>
        <w:spacing w:before="0" w:after="0" w:afterAutospacing="0"/>
        <w:ind w:left="0" w:right="0" w:firstLine="420" w:firstLineChars="200"/>
        <w:rPr>
          <w:rFonts w:ascii="宋体" w:hAnsi="宋体" w:cs="Arial"/>
        </w:rPr>
      </w:pPr>
      <w:r>
        <w:rPr>
          <w:rFonts w:hint="eastAsia" w:ascii="宋体" w:hAnsi="宋体" w:cs="Arial"/>
        </w:rPr>
        <w:t>不可抗力发生后，甲方和乙方应收集证明不可抗力发生及不可抗力造成损失的证据，并及时认真统计所造成的损失。甲乙双方对是否属于不可抗力或其损失发生争议时，按第19条〔争议解决方式〕的约定处理。</w:t>
      </w:r>
    </w:p>
    <w:p>
      <w:pPr>
        <w:tabs>
          <w:tab w:val="left" w:pos="1120"/>
        </w:tabs>
        <w:spacing w:before="0" w:after="0" w:afterAutospacing="0"/>
        <w:ind w:left="0" w:right="0" w:firstLine="420" w:firstLineChars="200"/>
        <w:rPr>
          <w:rFonts w:ascii="宋体" w:hAnsi="宋体"/>
        </w:rPr>
      </w:pPr>
      <w:r>
        <w:rPr>
          <w:rFonts w:hint="eastAsia" w:ascii="宋体" w:hAnsi="宋体"/>
        </w:rPr>
        <w:t>15.2 不可抗力的通知</w:t>
      </w:r>
    </w:p>
    <w:p>
      <w:pPr>
        <w:spacing w:before="0" w:after="0" w:afterAutospacing="0"/>
        <w:ind w:left="0" w:right="0" w:firstLine="420" w:firstLineChars="200"/>
        <w:rPr>
          <w:rFonts w:ascii="宋体" w:hAnsi="宋体" w:cs="Arial"/>
        </w:rPr>
      </w:pPr>
      <w:r>
        <w:rPr>
          <w:rFonts w:hint="eastAsia" w:ascii="宋体" w:hAnsi="宋体" w:cs="Arial"/>
        </w:rPr>
        <w:t>合同一方当事人遇到不可抗力事件，使其履行合同义务受到阻碍时，应立即通知合同另一方当事人，书面说明不可抗力和受阻碍的详细情况，并在合理期限内提供必要的证明。</w:t>
      </w:r>
    </w:p>
    <w:p>
      <w:pPr>
        <w:spacing w:before="0" w:after="0" w:afterAutospacing="0"/>
        <w:ind w:left="0" w:right="0" w:firstLine="420" w:firstLineChars="200"/>
        <w:rPr>
          <w:rFonts w:ascii="宋体" w:hAnsi="宋体" w:cs="Arial"/>
        </w:rPr>
      </w:pPr>
      <w:r>
        <w:rPr>
          <w:rFonts w:hint="eastAsia" w:ascii="宋体" w:hAnsi="宋体" w:cs="Arial"/>
        </w:rPr>
        <w:t>不可抗力持续发生的，合同一方当事人应及时向合同另一方当事人提交中间报告，说明不可抗力和履行合同受阻的情况，并于不可抗力事件结束后28天内提交最终报告及有关资料。</w:t>
      </w:r>
    </w:p>
    <w:p>
      <w:pPr>
        <w:tabs>
          <w:tab w:val="left" w:pos="1120"/>
        </w:tabs>
        <w:spacing w:before="0" w:after="0" w:afterAutospacing="0"/>
        <w:ind w:left="0" w:right="0" w:firstLine="420" w:firstLineChars="200"/>
        <w:rPr>
          <w:rFonts w:ascii="宋体" w:hAnsi="宋体"/>
        </w:rPr>
      </w:pPr>
      <w:r>
        <w:rPr>
          <w:rFonts w:hint="eastAsia" w:ascii="宋体" w:hAnsi="宋体"/>
        </w:rPr>
        <w:t>15.3 不可抗力后果的承担</w:t>
      </w:r>
    </w:p>
    <w:p>
      <w:pPr>
        <w:spacing w:before="0" w:after="0" w:afterAutospacing="0"/>
        <w:ind w:left="0" w:right="0" w:firstLine="420" w:firstLineChars="200"/>
        <w:rPr>
          <w:rFonts w:ascii="宋体" w:hAnsi="宋体" w:cs="Arial"/>
        </w:rPr>
      </w:pPr>
      <w:r>
        <w:rPr>
          <w:rFonts w:hint="eastAsia" w:ascii="宋体" w:hAnsi="宋体" w:cs="Arial"/>
        </w:rPr>
        <w:t>不可抗力引起的后果及造成的损失由合同当事人按照法律规定及合同约定各自承担。不可抗力发生前已完成的项目内容应当按照合同约定进行支付。</w:t>
      </w:r>
    </w:p>
    <w:p>
      <w:pPr>
        <w:spacing w:before="0" w:after="0" w:afterAutospacing="0"/>
        <w:ind w:left="0" w:right="0" w:firstLine="420" w:firstLineChars="200"/>
        <w:rPr>
          <w:rFonts w:ascii="宋体" w:hAnsi="宋体" w:cs="Arial"/>
        </w:rPr>
      </w:pPr>
      <w:r>
        <w:rPr>
          <w:rFonts w:hint="eastAsia" w:ascii="宋体" w:hAnsi="宋体" w:cs="Arial"/>
        </w:rPr>
        <w:t>不可抗力发生后，合同当事人均应采取措施尽量避免和减少损失的扩大，任何一方当事人没有采取有效措施导致损失扩大的，应对扩大的损失承担责任。</w:t>
      </w:r>
    </w:p>
    <w:p>
      <w:pPr>
        <w:spacing w:before="0" w:after="0" w:afterAutospacing="0"/>
        <w:ind w:left="0" w:right="0" w:firstLine="420" w:firstLineChars="200"/>
        <w:rPr>
          <w:rFonts w:ascii="宋体" w:hAnsi="宋体" w:cs="Arial"/>
        </w:rPr>
      </w:pPr>
      <w:r>
        <w:rPr>
          <w:rFonts w:hint="eastAsia" w:ascii="宋体" w:hAnsi="宋体" w:cs="Arial"/>
        </w:rPr>
        <w:t>因合同一方迟延履行合同义务，在迟延履行期间遭遇不可抗力的，不免除其违约责任。</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16.税费</w:t>
      </w:r>
      <w:bookmarkEnd w:id="1169"/>
      <w:bookmarkEnd w:id="1170"/>
      <w:bookmarkEnd w:id="1171"/>
      <w:bookmarkEnd w:id="1172"/>
    </w:p>
    <w:p>
      <w:pPr>
        <w:spacing w:before="0" w:after="0" w:afterAutospacing="0"/>
        <w:ind w:left="0" w:right="0" w:firstLine="420" w:firstLineChars="200"/>
        <w:rPr>
          <w:rFonts w:ascii="宋体" w:hAnsi="宋体" w:cs="Arial"/>
        </w:rPr>
      </w:pPr>
      <w:r>
        <w:rPr>
          <w:rFonts w:hint="eastAsia" w:ascii="宋体" w:hAnsi="宋体" w:cs="Arial"/>
        </w:rPr>
        <w:t>16.1由中国政府根据现行税法向甲方征收的与合同执行有关的所有税款，应由甲方承担。</w:t>
      </w:r>
    </w:p>
    <w:p>
      <w:pPr>
        <w:spacing w:before="0" w:after="0" w:afterAutospacing="0"/>
        <w:ind w:left="0" w:right="0" w:firstLine="420" w:firstLineChars="200"/>
        <w:rPr>
          <w:rFonts w:ascii="宋体" w:hAnsi="宋体" w:cs="Arial"/>
        </w:rPr>
      </w:pPr>
      <w:r>
        <w:rPr>
          <w:rFonts w:hint="eastAsia" w:ascii="宋体" w:hAnsi="宋体" w:cs="Arial"/>
        </w:rPr>
        <w:t>16.2由中国政府根据现行税法向乙方征收的与合同执行有关的所有税款，应由乙方承担，并已包含在合同总价中。</w:t>
      </w:r>
    </w:p>
    <w:p>
      <w:pPr>
        <w:spacing w:before="0" w:after="0" w:afterAutospacing="0"/>
        <w:ind w:left="0" w:right="0" w:firstLine="420" w:firstLineChars="200"/>
        <w:rPr>
          <w:rFonts w:ascii="宋体" w:hAnsi="宋体" w:cs="Arial"/>
        </w:rPr>
      </w:pPr>
      <w:r>
        <w:rPr>
          <w:rFonts w:hint="eastAsia" w:ascii="宋体" w:hAnsi="宋体" w:cs="Arial"/>
        </w:rPr>
        <w:t>16.3由中国政府根据现行个人所得税法向乙方征收的与合同执行有关的所有个人所得税款，应由乙方承担，并已包含在合同总价中。</w:t>
      </w:r>
    </w:p>
    <w:p>
      <w:pPr>
        <w:spacing w:before="0" w:after="0" w:afterAutospacing="0"/>
        <w:ind w:left="0" w:right="0" w:firstLine="420" w:firstLineChars="200"/>
        <w:rPr>
          <w:rFonts w:ascii="宋体" w:hAnsi="宋体" w:cs="Arial"/>
        </w:rPr>
      </w:pPr>
      <w:r>
        <w:rPr>
          <w:rFonts w:hint="eastAsia" w:ascii="宋体" w:hAnsi="宋体" w:cs="Arial"/>
        </w:rPr>
        <w:t>16.4乙方必须保证所开具的发票符合中华人民共和国税法等相关法律法规，且由此产生的一切后果，由乙方自行承担。</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bookmarkStart w:id="1173" w:name="_Toc19660"/>
      <w:bookmarkStart w:id="1174" w:name="_Toc437544552"/>
      <w:bookmarkStart w:id="1175" w:name="_Toc14793"/>
      <w:bookmarkStart w:id="1176" w:name="_Toc369786999"/>
      <w:r>
        <w:rPr>
          <w:rFonts w:hint="eastAsia" w:ascii="黑体" w:hAnsi="黑体" w:eastAsia="黑体" w:cs="黑体"/>
          <w:b/>
          <w:kern w:val="2"/>
          <w:sz w:val="24"/>
          <w:szCs w:val="20"/>
        </w:rPr>
        <w:t>17.转让和分包</w:t>
      </w:r>
      <w:bookmarkEnd w:id="1173"/>
      <w:bookmarkEnd w:id="1174"/>
      <w:bookmarkEnd w:id="1175"/>
    </w:p>
    <w:p>
      <w:pPr>
        <w:spacing w:before="0" w:after="0" w:afterAutospacing="0"/>
        <w:ind w:left="0" w:right="0" w:firstLine="420" w:firstLineChars="200"/>
        <w:rPr>
          <w:rFonts w:ascii="宋体" w:hAnsi="宋体" w:cs="Arial"/>
        </w:rPr>
      </w:pPr>
      <w:r>
        <w:rPr>
          <w:rFonts w:hint="eastAsia" w:ascii="宋体" w:hAnsi="宋体" w:cs="Arial"/>
        </w:rPr>
        <w:t>17.1除甲方事先书面同意外，乙方不得将其合同权利、责任和义务部分转让或全部转让或转移给第三方。</w:t>
      </w:r>
    </w:p>
    <w:p>
      <w:pPr>
        <w:spacing w:before="0" w:after="0" w:afterAutospacing="0"/>
        <w:ind w:left="0" w:right="0" w:firstLine="420" w:firstLineChars="200"/>
        <w:rPr>
          <w:rFonts w:ascii="宋体" w:hAnsi="宋体" w:cs="Arial"/>
        </w:rPr>
      </w:pPr>
      <w:r>
        <w:rPr>
          <w:rFonts w:hint="eastAsia" w:ascii="宋体" w:hAnsi="宋体" w:cs="Arial"/>
        </w:rPr>
        <w:t>17.2除合同另有约定外，乙方不得将本项目的全部或部分工作分包给第三方。</w:t>
      </w:r>
    </w:p>
    <w:bookmarkEnd w:id="1176"/>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bookmarkStart w:id="1177" w:name="_Toc3772"/>
      <w:bookmarkStart w:id="1178" w:name="_Toc16437"/>
      <w:bookmarkStart w:id="1179" w:name="_Toc437544553"/>
      <w:bookmarkStart w:id="1180" w:name="_Toc369787000"/>
      <w:r>
        <w:rPr>
          <w:rFonts w:hint="eastAsia" w:ascii="黑体" w:hAnsi="黑体" w:eastAsia="黑体" w:cs="黑体"/>
          <w:b/>
          <w:kern w:val="2"/>
          <w:sz w:val="24"/>
          <w:szCs w:val="20"/>
        </w:rPr>
        <w:t>18.通知</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18.1除非在合同中另有规定，合同项下发出的所有通知都要按书面形式，以信函、特快专递、传真方式发送到合同指定的地址。任何一方对地址的变更应提前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18.2通知的内容包括合同项下的批复、意见、指令、说明和证据。</w:t>
      </w:r>
    </w:p>
    <w:p>
      <w:pPr>
        <w:tabs>
          <w:tab w:val="left" w:pos="540"/>
          <w:tab w:val="left" w:pos="960"/>
        </w:tabs>
        <w:spacing w:before="0" w:after="0" w:afterAutospacing="0"/>
        <w:ind w:left="0" w:right="0" w:firstLine="420" w:firstLineChars="200"/>
      </w:pPr>
      <w:r>
        <w:rPr>
          <w:rFonts w:hint="eastAsia" w:ascii="宋体" w:hAnsi="宋体"/>
        </w:rPr>
        <w:t>18.3通知以送到日期或通知书的生效日期为生效日期，两者中以晚的一个日期为准。</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19.</w:t>
      </w:r>
      <w:bookmarkEnd w:id="1177"/>
      <w:bookmarkEnd w:id="1178"/>
      <w:bookmarkEnd w:id="1179"/>
      <w:r>
        <w:rPr>
          <w:rFonts w:hint="eastAsia" w:ascii="黑体" w:hAnsi="黑体" w:eastAsia="黑体" w:cs="黑体"/>
          <w:b/>
          <w:kern w:val="2"/>
          <w:sz w:val="24"/>
          <w:szCs w:val="20"/>
        </w:rPr>
        <w:t>争议解决方式</w:t>
      </w:r>
    </w:p>
    <w:bookmarkEnd w:id="1180"/>
    <w:p>
      <w:pPr>
        <w:tabs>
          <w:tab w:val="left" w:pos="540"/>
          <w:tab w:val="left" w:pos="960"/>
        </w:tabs>
        <w:spacing w:before="0" w:after="0" w:afterAutospacing="0"/>
        <w:ind w:left="0" w:right="0" w:firstLine="420" w:firstLineChars="200"/>
        <w:rPr>
          <w:rFonts w:ascii="宋体" w:hAnsi="宋体"/>
        </w:rPr>
      </w:pPr>
      <w:bookmarkStart w:id="1181" w:name="_Toc21022"/>
      <w:bookmarkStart w:id="1182" w:name="_Toc5360"/>
      <w:bookmarkStart w:id="1183" w:name="_Toc437544554"/>
      <w:bookmarkStart w:id="1184" w:name="_Toc369787001"/>
      <w:r>
        <w:rPr>
          <w:rFonts w:hint="eastAsia" w:ascii="宋体" w:hAnsi="宋体"/>
        </w:rPr>
        <w:t>19.1甲乙双方履行合同中发生争议的，可以先通过友好协商解决。</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19.2双方协商不成的，应当按下列第（2）种方式解决：</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（1）提交南宁仲裁委员会仲裁；</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（2）依法向甲方所在地人民法院起诉。</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19.3发生争议后，除非出现下列情况的，双方都应继续履行合同，保持施工连续并保护好已完项目：</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（1）单方违约导致合同确己无法履行，双方协议停止检测服务；</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（2）不可抗力导致合同无法履行；</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（3）调解要求停止检测服务，且为双方接受；</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（4）仲裁机关要求停止检测服务；</w:t>
      </w:r>
    </w:p>
    <w:p>
      <w:pPr>
        <w:tabs>
          <w:tab w:val="left" w:pos="540"/>
          <w:tab w:val="left" w:pos="960"/>
        </w:tabs>
        <w:spacing w:before="0" w:after="0" w:afterAutospacing="0"/>
        <w:ind w:left="0" w:right="0" w:firstLine="420" w:firstLineChars="200"/>
        <w:rPr>
          <w:rFonts w:ascii="宋体" w:hAnsi="宋体"/>
        </w:rPr>
      </w:pPr>
      <w:r>
        <w:rPr>
          <w:rFonts w:hint="eastAsia" w:ascii="宋体" w:hAnsi="宋体"/>
        </w:rPr>
        <w:t>（5）法院要求停止检测服务。</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20.合同生效及其它</w:t>
      </w:r>
      <w:bookmarkEnd w:id="1181"/>
      <w:bookmarkEnd w:id="1182"/>
      <w:bookmarkEnd w:id="1183"/>
    </w:p>
    <w:p>
      <w:pPr>
        <w:spacing w:before="0" w:after="0" w:afterAutospacing="0"/>
        <w:ind w:left="0" w:right="0" w:firstLine="420" w:firstLineChars="200"/>
        <w:rPr>
          <w:rFonts w:ascii="宋体" w:hAnsi="宋体" w:cs="Arial"/>
        </w:rPr>
      </w:pPr>
      <w:r>
        <w:rPr>
          <w:rFonts w:hint="eastAsia" w:ascii="宋体" w:hAnsi="宋体" w:cs="Arial"/>
        </w:rPr>
        <w:t>20.1本合同生效的时间以双方签署的协议书上的最后日期为准。</w:t>
      </w:r>
    </w:p>
    <w:p>
      <w:pPr>
        <w:spacing w:before="0" w:after="0" w:afterAutospacing="0"/>
        <w:ind w:left="0" w:right="0" w:firstLine="420" w:firstLineChars="200"/>
        <w:rPr>
          <w:rFonts w:ascii="宋体" w:hAnsi="宋体" w:cs="Arial"/>
        </w:rPr>
      </w:pPr>
      <w:r>
        <w:rPr>
          <w:rFonts w:hint="eastAsia" w:ascii="宋体" w:hAnsi="宋体" w:cs="Arial"/>
        </w:rPr>
        <w:t>20.2本合同签约地为中华人民共和国广西壮族自治区南宁市青秀区。</w:t>
      </w:r>
    </w:p>
    <w:p>
      <w:pPr>
        <w:spacing w:before="0" w:after="0" w:afterAutospacing="0"/>
        <w:ind w:left="0" w:right="0" w:firstLine="420" w:firstLineChars="200"/>
        <w:rPr>
          <w:rFonts w:ascii="宋体" w:hAnsi="宋体" w:cs="Arial"/>
        </w:rPr>
      </w:pPr>
      <w:r>
        <w:rPr>
          <w:rFonts w:hint="eastAsia" w:ascii="宋体" w:hAnsi="宋体" w:cs="Arial"/>
        </w:rPr>
        <w:t>20.3本合同经双方法定代表人或授权代表签字、加盖单位公章后生效。</w:t>
      </w:r>
    </w:p>
    <w:p>
      <w:pPr>
        <w:spacing w:before="0" w:after="0" w:afterAutospacing="0"/>
        <w:ind w:left="0" w:right="0" w:firstLine="420" w:firstLineChars="200"/>
        <w:rPr>
          <w:rFonts w:ascii="宋体" w:hAnsi="宋体" w:cs="Arial"/>
        </w:rPr>
      </w:pPr>
      <w:r>
        <w:rPr>
          <w:rFonts w:hint="eastAsia" w:ascii="宋体" w:hAnsi="宋体" w:cs="Arial"/>
        </w:rPr>
        <w:t>20.4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bookmarkEnd w:id="1184"/>
      <w:bookmarkStart w:id="1185" w:name="_Toc12470"/>
      <w:bookmarkStart w:id="1186" w:name="_Toc12983548"/>
      <w:bookmarkStart w:id="1187" w:name="_Toc2753"/>
      <w:bookmarkStart w:id="1188" w:name="_Toc19448"/>
      <w:bookmarkStart w:id="1189" w:name="_Toc6194"/>
      <w:bookmarkStart w:id="1190" w:name="_Toc16443"/>
      <w:bookmarkStart w:id="1191" w:name="_Toc27258"/>
      <w:bookmarkStart w:id="1192" w:name="_Toc29249"/>
      <w:bookmarkStart w:id="1193" w:name="_Toc13288"/>
      <w:bookmarkStart w:id="1194" w:name="_Toc16716"/>
      <w:bookmarkStart w:id="1195" w:name="_Toc5644"/>
      <w:bookmarkStart w:id="1196" w:name="_Toc21659"/>
      <w:bookmarkStart w:id="1197" w:name="_Toc21635"/>
      <w:bookmarkStart w:id="1198" w:name="_Toc14997"/>
      <w:bookmarkStart w:id="1199" w:name="_Toc21033"/>
      <w:bookmarkStart w:id="1200" w:name="_Toc21372"/>
      <w:bookmarkStart w:id="1201" w:name="_Toc5186"/>
      <w:bookmarkStart w:id="1202" w:name="_Toc27316"/>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21.廉洁条款特别约定</w:t>
      </w:r>
    </w:p>
    <w:p>
      <w:pPr>
        <w:spacing w:before="0" w:after="0" w:afterAutospacing="0"/>
        <w:ind w:left="0" w:right="0" w:firstLine="420" w:firstLineChars="200"/>
        <w:rPr>
          <w:rFonts w:ascii="宋体" w:hAnsi="宋体" w:cs="Arial"/>
        </w:rPr>
      </w:pPr>
      <w:r>
        <w:rPr>
          <w:rFonts w:hint="eastAsia" w:ascii="宋体" w:hAnsi="宋体" w:cs="Arial"/>
        </w:rPr>
        <w:t>21.1严格遵守国家有关法律法规以及廉洁条款的有关规定。</w:t>
      </w:r>
    </w:p>
    <w:p>
      <w:pPr>
        <w:spacing w:before="0" w:after="0" w:afterAutospacing="0"/>
        <w:ind w:left="0" w:right="0" w:firstLine="420" w:firstLineChars="200"/>
        <w:rPr>
          <w:rFonts w:ascii="宋体" w:hAnsi="宋体" w:cs="Arial"/>
        </w:rPr>
      </w:pPr>
      <w:r>
        <w:rPr>
          <w:rFonts w:hint="eastAsia" w:ascii="宋体" w:hAnsi="宋体" w:cs="Arial"/>
        </w:rPr>
        <w:t>21.2严格遵守商业道德和市场规则，共同营造公平公正的商业交易环境。</w:t>
      </w:r>
    </w:p>
    <w:p>
      <w:pPr>
        <w:spacing w:before="0" w:after="0" w:afterAutospacing="0"/>
        <w:ind w:left="0" w:right="0" w:firstLine="420" w:firstLineChars="200"/>
        <w:rPr>
          <w:rFonts w:ascii="宋体" w:hAnsi="宋体" w:cs="Arial"/>
        </w:rPr>
      </w:pPr>
      <w:r>
        <w:rPr>
          <w:rFonts w:hint="eastAsia" w:ascii="宋体" w:hAnsi="宋体" w:cs="Arial"/>
        </w:rPr>
        <w:t>21.3不向甲方及其人员提供回扣、礼金、有价证券、支付凭证、贵重物品等。</w:t>
      </w:r>
    </w:p>
    <w:p>
      <w:pPr>
        <w:spacing w:before="0" w:after="0" w:afterAutospacing="0"/>
        <w:ind w:left="0" w:right="0" w:firstLine="420" w:firstLineChars="200"/>
        <w:rPr>
          <w:rFonts w:ascii="宋体" w:hAnsi="宋体" w:cs="Arial"/>
        </w:rPr>
      </w:pPr>
      <w:r>
        <w:rPr>
          <w:rFonts w:hint="eastAsia" w:ascii="宋体" w:hAnsi="宋体" w:cs="Arial"/>
        </w:rPr>
        <w:t>21.4不为甲方及其人员报销应由贵公司或个人支付的费用。</w:t>
      </w:r>
    </w:p>
    <w:p>
      <w:pPr>
        <w:spacing w:before="0" w:after="0" w:afterAutospacing="0"/>
        <w:ind w:left="0" w:right="0" w:firstLine="420" w:firstLineChars="200"/>
        <w:rPr>
          <w:rFonts w:ascii="宋体" w:hAnsi="宋体" w:cs="Arial"/>
        </w:rPr>
      </w:pPr>
      <w:r>
        <w:rPr>
          <w:rFonts w:hint="eastAsia" w:ascii="宋体" w:hAnsi="宋体" w:cs="Arial"/>
        </w:rPr>
        <w:t>21.5不为甲方人员投资入股，个人借款或买卖股票、债券等提供方便。</w:t>
      </w:r>
    </w:p>
    <w:p>
      <w:pPr>
        <w:spacing w:before="0" w:after="0" w:afterAutospacing="0"/>
        <w:ind w:left="0" w:right="0" w:firstLine="420" w:firstLineChars="200"/>
        <w:rPr>
          <w:rFonts w:ascii="宋体" w:hAnsi="宋体" w:cs="Arial"/>
        </w:rPr>
      </w:pPr>
      <w:r>
        <w:rPr>
          <w:rFonts w:hint="eastAsia" w:ascii="宋体" w:hAnsi="宋体" w:cs="Arial"/>
        </w:rPr>
        <w:t>21.6不为甲方人员购买或装修住房、婚丧嫁娶、配偶和子女上学或工作安排以及出国（境）、旅游等提供方便。</w:t>
      </w:r>
    </w:p>
    <w:p>
      <w:pPr>
        <w:spacing w:before="0" w:after="0" w:afterAutospacing="0"/>
        <w:ind w:left="0" w:right="0" w:firstLine="420" w:firstLineChars="200"/>
        <w:rPr>
          <w:rFonts w:ascii="宋体" w:hAnsi="宋体" w:cs="Arial"/>
        </w:rPr>
      </w:pPr>
      <w:r>
        <w:rPr>
          <w:rFonts w:hint="eastAsia" w:ascii="宋体" w:hAnsi="宋体" w:cs="Arial"/>
        </w:rPr>
        <w:t>21.7不为甲方人员安排的有可能影响履行合同的宴请、健身、娱乐等活动。</w:t>
      </w:r>
    </w:p>
    <w:p>
      <w:pPr>
        <w:spacing w:before="0" w:after="0" w:afterAutospacing="0"/>
        <w:ind w:left="0" w:right="0" w:firstLine="420" w:firstLineChars="200"/>
        <w:rPr>
          <w:rFonts w:ascii="宋体" w:hAnsi="宋体" w:cs="Arial"/>
        </w:rPr>
      </w:pPr>
      <w:r>
        <w:rPr>
          <w:rFonts w:hint="eastAsia" w:ascii="宋体" w:hAnsi="宋体" w:cs="Arial"/>
        </w:rPr>
        <w:t>21.8不为甲方及其人员购置或提供通讯工具、交通工具和高档办公用品。</w:t>
      </w:r>
    </w:p>
    <w:p>
      <w:pPr>
        <w:spacing w:before="0" w:after="0" w:afterAutospacing="0"/>
        <w:ind w:left="0" w:right="0" w:firstLine="420" w:firstLineChars="200"/>
        <w:rPr>
          <w:rFonts w:ascii="宋体" w:hAnsi="宋体" w:cs="Arial"/>
        </w:rPr>
      </w:pPr>
      <w:r>
        <w:rPr>
          <w:rFonts w:hint="eastAsia" w:ascii="宋体" w:hAnsi="宋体" w:cs="Arial"/>
        </w:rPr>
        <w:t>21.9不为甲方人员的配偶、子女及其他人亲属谋取不正当利益提供方便。</w:t>
      </w:r>
    </w:p>
    <w:p>
      <w:pPr>
        <w:spacing w:before="0" w:after="0" w:afterAutospacing="0"/>
        <w:ind w:left="0" w:right="0" w:firstLine="420" w:firstLineChars="200"/>
        <w:rPr>
          <w:rFonts w:ascii="宋体" w:hAnsi="宋体" w:cs="Arial"/>
        </w:rPr>
      </w:pPr>
      <w:r>
        <w:rPr>
          <w:rFonts w:hint="eastAsia" w:ascii="宋体" w:hAnsi="宋体" w:cs="Arial"/>
        </w:rPr>
        <w:t>21.10不违反规定安排甲方人员在乙方或乙方相关企业兼职和领取兼职工资及报酬；不得利用非法手段向甲方打探有关涉及贵公司的商业秘密、业务渠道等。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cs="Arial"/>
        </w:rPr>
      </w:pPr>
      <w:r>
        <w:rPr>
          <w:rFonts w:hint="eastAsia" w:ascii="宋体" w:hAnsi="宋体" w:cs="Arial"/>
        </w:rPr>
        <w:t>21.11甲方对涉嫌不廉洁的商业行为进行调查时，乙方应配合甲方提供证据、作证的义务。</w:t>
      </w:r>
    </w:p>
    <w:p>
      <w:pPr>
        <w:spacing w:before="0" w:after="0" w:afterAutospacing="0"/>
        <w:ind w:left="0" w:right="0" w:firstLine="420" w:firstLineChars="200"/>
        <w:rPr>
          <w:rFonts w:ascii="宋体" w:hAnsi="宋体" w:cs="Arial"/>
        </w:rPr>
      </w:pPr>
      <w:r>
        <w:rPr>
          <w:rFonts w:hint="eastAsia" w:ascii="宋体" w:hAnsi="宋体" w:cs="Arial"/>
        </w:rPr>
        <w:t>21.12未经甲方书面同意，乙方不得向任何新闻媒体、第三人述及有关甲方人员廉洁从业方面的评价、信息。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cs="Arial"/>
        </w:rPr>
      </w:pPr>
      <w:r>
        <w:rPr>
          <w:rFonts w:hint="eastAsia" w:ascii="宋体" w:hAnsi="宋体" w:cs="Arial"/>
        </w:rPr>
        <w:t>21.13如有违反的，一经发现，甲方可以立即终止与乙方之间合作业务并无须承担任何经济和法律责任。</w:t>
      </w:r>
    </w:p>
    <w:p>
      <w:pPr>
        <w:keepNext/>
        <w:keepLines/>
        <w:widowControl w:val="0"/>
        <w:spacing w:before="240" w:beforeLines="100" w:after="120" w:afterLines="50" w:afterAutospacing="0" w:line="240" w:lineRule="auto"/>
        <w:ind w:left="0" w:right="0" w:firstLine="482" w:firstLineChars="200"/>
        <w:outlineLvl w:val="2"/>
        <w:rPr>
          <w:rFonts w:ascii="黑体" w:hAnsi="黑体" w:eastAsia="黑体" w:cs="黑体"/>
          <w:b/>
          <w:kern w:val="2"/>
          <w:sz w:val="24"/>
          <w:szCs w:val="20"/>
        </w:rPr>
      </w:pPr>
      <w:r>
        <w:rPr>
          <w:rFonts w:hint="eastAsia" w:ascii="黑体" w:hAnsi="黑体" w:eastAsia="黑体" w:cs="黑体"/>
          <w:b/>
          <w:kern w:val="2"/>
          <w:sz w:val="24"/>
          <w:szCs w:val="20"/>
        </w:rPr>
        <w:t>22.其他</w:t>
      </w:r>
    </w:p>
    <w:p>
      <w:pPr>
        <w:spacing w:before="0" w:after="0" w:afterAutospacing="0"/>
        <w:ind w:left="0" w:right="0" w:firstLine="420" w:firstLineChars="200"/>
        <w:rPr>
          <w:rFonts w:ascii="宋体" w:hAnsi="宋体" w:cs="Arial"/>
        </w:rPr>
      </w:pPr>
      <w:r>
        <w:rPr>
          <w:rFonts w:hint="eastAsia" w:ascii="宋体" w:hAnsi="宋体" w:cs="Arial"/>
        </w:rPr>
        <w:t>22.1本合同未尽事宜，由双方协商解决，必要时可签订补充合同。</w:t>
      </w:r>
    </w:p>
    <w:p>
      <w:pPr>
        <w:spacing w:before="0" w:after="0" w:afterAutospacing="0"/>
        <w:ind w:left="0" w:right="0" w:firstLine="420" w:firstLineChars="200"/>
      </w:pPr>
      <w:r>
        <w:rPr>
          <w:rFonts w:hint="eastAsia" w:ascii="宋体" w:hAnsi="宋体" w:cs="Arial"/>
        </w:rPr>
        <w:t>22.2 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rPr>
          <w:rFonts w:ascii="宋体" w:hAnsi="宋体" w:cs="Arial"/>
        </w:rPr>
      </w:pPr>
      <w:r>
        <w:rPr>
          <w:rFonts w:hint="eastAsia" w:ascii="宋体" w:hAnsi="宋体" w:cs="Arial"/>
        </w:rPr>
        <w:br w:type="page"/>
      </w:r>
    </w:p>
    <w:p>
      <w:pPr>
        <w:outlineLvl w:val="2"/>
        <w:rPr>
          <w:rFonts w:hint="eastAsia" w:ascii="宋体" w:hAnsi="宋体" w:eastAsia="宋体" w:cs="宋体"/>
          <w:b/>
          <w:bCs/>
          <w:color w:val="auto"/>
          <w:szCs w:val="21"/>
          <w:lang w:eastAsia="zh-CN"/>
        </w:rPr>
      </w:pPr>
      <w:r>
        <w:rPr>
          <w:rFonts w:hint="eastAsia" w:ascii="宋体" w:hAnsi="宋体"/>
          <w:b/>
          <w:bCs/>
          <w:szCs w:val="21"/>
        </w:rPr>
        <w:t>附件：</w:t>
      </w:r>
      <w:r>
        <w:rPr>
          <w:rFonts w:hint="eastAsia" w:ascii="宋体" w:hAnsi="宋体" w:eastAsia="宋体" w:cs="宋体"/>
          <w:b/>
          <w:bCs/>
          <w:color w:val="auto"/>
          <w:szCs w:val="21"/>
          <w:lang w:val="en-US" w:eastAsia="zh-CN"/>
        </w:rPr>
        <w:t>运营公司委外项目合同违约处理通知单</w:t>
      </w:r>
    </w:p>
    <w:p>
      <w:pPr>
        <w:jc w:val="center"/>
        <w:rPr>
          <w:rFonts w:hint="eastAsia" w:ascii="黑体" w:hAnsi="宋体" w:eastAsia="黑体" w:cs="Times New Roman"/>
          <w:color w:val="000000"/>
          <w:sz w:val="36"/>
          <w:szCs w:val="36"/>
          <w:highlight w:val="none"/>
          <w:lang w:val="en-US" w:eastAsia="zh-CN"/>
        </w:rPr>
      </w:pPr>
      <w:r>
        <w:rPr>
          <w:rFonts w:hint="eastAsia" w:ascii="宋体" w:hAnsi="宋体" w:eastAsia="宋体" w:cs="宋体"/>
          <w:b/>
          <w:sz w:val="32"/>
          <w:szCs w:val="32"/>
        </w:rPr>
        <w:tab/>
      </w:r>
      <w:r>
        <w:rPr>
          <w:rFonts w:hint="eastAsia" w:ascii="宋体" w:hAnsi="宋体" w:eastAsia="宋体" w:cs="宋体"/>
          <w:b/>
          <w:sz w:val="32"/>
          <w:szCs w:val="32"/>
        </w:rPr>
        <w:tab/>
      </w:r>
      <w:r>
        <w:rPr>
          <w:rFonts w:hint="eastAsia" w:ascii="黑体" w:hAnsi="宋体" w:eastAsia="黑体" w:cs="Times New Roman"/>
          <w:color w:val="000000"/>
          <w:sz w:val="36"/>
          <w:szCs w:val="36"/>
          <w:highlight w:val="none"/>
          <w:lang w:val="en-US" w:eastAsia="zh-CN"/>
        </w:rPr>
        <w:t>运营公司委外项目合同违约处理通知单</w:t>
      </w:r>
    </w:p>
    <w:p>
      <w:pPr>
        <w:rPr>
          <w:rFonts w:ascii="宋体" w:hAnsi="宋体"/>
          <w:color w:val="000000"/>
          <w:highlight w:val="none"/>
        </w:rPr>
      </w:pPr>
      <w:r>
        <w:rPr>
          <w:rFonts w:hint="eastAsia" w:hAnsi="宋体" w:cs="宋体"/>
          <w:b/>
          <w:sz w:val="32"/>
          <w:szCs w:val="32"/>
          <w:highlight w:val="none"/>
        </w:rPr>
        <w:t xml:space="preserve">   </w:t>
      </w:r>
      <w:r>
        <w:rPr>
          <w:rFonts w:hint="eastAsia" w:hAnsi="宋体" w:cs="宋体"/>
          <w:b/>
          <w:sz w:val="32"/>
          <w:szCs w:val="32"/>
          <w:highlight w:val="none"/>
          <w:lang w:val="en-US" w:eastAsia="zh-CN"/>
        </w:rPr>
        <w:t xml:space="preserve">                                </w:t>
      </w:r>
      <w:r>
        <w:rPr>
          <w:rFonts w:hint="eastAsia" w:hAnsi="宋体" w:cs="宋体"/>
          <w:b/>
          <w:sz w:val="32"/>
          <w:szCs w:val="32"/>
          <w:highlight w:val="none"/>
        </w:rPr>
        <w:t xml:space="preserve"> </w:t>
      </w:r>
      <w:r>
        <w:rPr>
          <w:rFonts w:hint="eastAsia" w:hAnsi="宋体" w:cs="Times New Roman"/>
          <w:b/>
          <w:highlight w:val="none"/>
        </w:rPr>
        <w:t>编号：</w:t>
      </w:r>
      <w:r>
        <w:rPr>
          <w:rFonts w:hint="eastAsia" w:hAnsi="宋体" w:cs="Times New Roman"/>
          <w:bCs/>
          <w:color w:val="FF0000"/>
          <w:highlight w:val="none"/>
        </w:rPr>
        <w:t>合同编号-年月-两位数</w:t>
      </w:r>
      <w:r>
        <w:rPr>
          <w:rFonts w:hint="eastAsia" w:hAnsi="宋体" w:cs="Times New Roman"/>
          <w:bCs/>
          <w:color w:val="FF0000"/>
          <w:highlight w:val="none"/>
          <w:lang w:val="en-US" w:eastAsia="zh-CN"/>
        </w:rPr>
        <w:t>流水号</w:t>
      </w:r>
    </w:p>
    <w:tbl>
      <w:tblPr>
        <w:tblStyle w:val="28"/>
        <w:tblpPr w:leftFromText="180" w:rightFromText="180" w:vertAnchor="text" w:horzAnchor="page" w:tblpX="906" w:tblpY="212"/>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94"/>
        <w:gridCol w:w="1757"/>
        <w:gridCol w:w="1283"/>
        <w:gridCol w:w="392"/>
        <w:gridCol w:w="194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2" w:type="dxa"/>
            <w:gridSpan w:val="2"/>
            <w:tcBorders>
              <w:top w:val="thinThickSmallGap" w:color="auto" w:sz="18" w:space="0"/>
              <w:left w:val="thinThickSmallGap" w:color="auto" w:sz="18" w:space="0"/>
              <w:bottom w:val="single" w:color="auto" w:sz="4" w:space="0"/>
              <w:right w:val="single" w:color="auto" w:sz="4" w:space="0"/>
            </w:tcBorders>
            <w:noWrap w:val="0"/>
            <w:vAlign w:val="center"/>
          </w:tcPr>
          <w:p>
            <w:pPr>
              <w:jc w:val="center"/>
              <w:rPr>
                <w:rFonts w:ascii="宋体" w:hAnsi="宋体"/>
                <w:b/>
                <w:sz w:val="24"/>
                <w:highlight w:val="none"/>
              </w:rPr>
            </w:pPr>
            <w:r>
              <w:rPr>
                <w:rFonts w:hint="eastAsia" w:ascii="宋体" w:hAnsi="宋体"/>
                <w:b/>
                <w:szCs w:val="21"/>
                <w:highlight w:val="none"/>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noWrap w:val="0"/>
            <w:vAlign w:val="center"/>
          </w:tcPr>
          <w:p>
            <w:pPr>
              <w:jc w:val="center"/>
              <w:rPr>
                <w:rFonts w:ascii="宋体" w:hAnsi="宋体"/>
                <w:b/>
                <w:highlight w:val="none"/>
              </w:rPr>
            </w:pPr>
          </w:p>
        </w:tc>
        <w:tc>
          <w:tcPr>
            <w:tcW w:w="1946" w:type="dxa"/>
            <w:tcBorders>
              <w:top w:val="thinThickSmallGap" w:color="auto" w:sz="18" w:space="0"/>
              <w:left w:val="single" w:color="auto" w:sz="4" w:space="0"/>
              <w:bottom w:val="single" w:color="auto" w:sz="4" w:space="0"/>
              <w:right w:val="single" w:color="auto" w:sz="4" w:space="0"/>
            </w:tcBorders>
            <w:noWrap w:val="0"/>
            <w:vAlign w:val="center"/>
          </w:tcPr>
          <w:p>
            <w:pPr>
              <w:jc w:val="center"/>
              <w:rPr>
                <w:rFonts w:ascii="宋体" w:hAnsi="宋体"/>
                <w:b/>
                <w:sz w:val="24"/>
                <w:highlight w:val="none"/>
              </w:rPr>
            </w:pPr>
            <w:r>
              <w:rPr>
                <w:rFonts w:hint="eastAsia" w:ascii="宋体" w:hAnsi="宋体"/>
                <w:b/>
                <w:szCs w:val="21"/>
                <w:highlight w:val="none"/>
              </w:rPr>
              <w:t>合同编号</w:t>
            </w:r>
          </w:p>
        </w:tc>
        <w:tc>
          <w:tcPr>
            <w:tcW w:w="3035" w:type="dxa"/>
            <w:tcBorders>
              <w:top w:val="thinThickSmallGap" w:color="auto" w:sz="18" w:space="0"/>
              <w:left w:val="single" w:color="auto" w:sz="4" w:space="0"/>
              <w:bottom w:val="single" w:color="auto" w:sz="4" w:space="0"/>
              <w:right w:val="thinThickSmallGap" w:color="auto" w:sz="18" w:space="0"/>
            </w:tcBorders>
            <w:noWrap w:val="0"/>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ascii="宋体" w:hAnsi="宋体"/>
                <w:b/>
                <w:sz w:val="24"/>
                <w:highlight w:val="none"/>
              </w:rPr>
            </w:pPr>
            <w:r>
              <w:rPr>
                <w:rFonts w:hint="eastAsia" w:ascii="宋体" w:hAnsi="宋体"/>
                <w:b/>
                <w:szCs w:val="21"/>
                <w:highlight w:val="none"/>
              </w:rPr>
              <w:t>承包商</w:t>
            </w:r>
          </w:p>
        </w:tc>
        <w:tc>
          <w:tcPr>
            <w:tcW w:w="34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highlight w:val="none"/>
              </w:rPr>
            </w:pPr>
          </w:p>
        </w:tc>
        <w:tc>
          <w:tcPr>
            <w:tcW w:w="194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b/>
                <w:szCs w:val="21"/>
                <w:highlight w:val="none"/>
                <w:lang w:eastAsia="zh-CN"/>
              </w:rPr>
            </w:pPr>
            <w:r>
              <w:rPr>
                <w:rFonts w:hint="eastAsia" w:ascii="宋体" w:hAnsi="宋体"/>
                <w:b/>
                <w:szCs w:val="21"/>
                <w:highlight w:val="none"/>
                <w:lang w:eastAsia="zh-CN"/>
              </w:rPr>
              <w:t>运营公司</w:t>
            </w:r>
          </w:p>
          <w:p>
            <w:pPr>
              <w:spacing w:line="240" w:lineRule="auto"/>
              <w:jc w:val="center"/>
              <w:rPr>
                <w:rFonts w:ascii="宋体" w:hAnsi="宋体"/>
                <w:b/>
                <w:sz w:val="24"/>
                <w:highlight w:val="none"/>
              </w:rPr>
            </w:pPr>
            <w:r>
              <w:rPr>
                <w:rFonts w:hint="eastAsia" w:ascii="宋体" w:hAnsi="宋体"/>
                <w:b/>
                <w:szCs w:val="21"/>
                <w:highlight w:val="none"/>
                <w:lang w:eastAsia="zh-CN"/>
              </w:rPr>
              <w:t>主办部门</w:t>
            </w:r>
          </w:p>
        </w:tc>
        <w:tc>
          <w:tcPr>
            <w:tcW w:w="3035" w:type="dxa"/>
            <w:tcBorders>
              <w:top w:val="single" w:color="auto" w:sz="4" w:space="0"/>
              <w:left w:val="single" w:color="auto" w:sz="4" w:space="0"/>
              <w:bottom w:val="single" w:color="auto" w:sz="4" w:space="0"/>
              <w:right w:val="thinThickSmallGap" w:color="auto" w:sz="18" w:space="0"/>
            </w:tcBorders>
            <w:noWrap w:val="0"/>
            <w:vAlign w:val="center"/>
          </w:tcPr>
          <w:p>
            <w:pPr>
              <w:jc w:val="center"/>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4"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ascii="宋体" w:hAnsi="宋体"/>
                <w:b/>
                <w:highlight w:val="none"/>
              </w:rPr>
            </w:pPr>
            <w:r>
              <w:rPr>
                <w:rFonts w:hint="eastAsia" w:ascii="宋体" w:hAnsi="宋体"/>
                <w:b/>
                <w:highlight w:val="none"/>
              </w:rPr>
              <w:t>合同违约情况</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snapToGrid w:val="0"/>
              <w:spacing w:before="0"/>
              <w:ind w:left="0" w:right="0" w:firstLine="0"/>
              <w:rPr>
                <w:rFonts w:ascii="宋体" w:hAnsi="宋体"/>
                <w:color w:val="FF0000"/>
                <w:sz w:val="18"/>
                <w:szCs w:val="18"/>
                <w:highlight w:val="none"/>
              </w:rPr>
            </w:pPr>
            <w:r>
              <w:rPr>
                <w:rFonts w:hint="eastAsia" w:ascii="宋体" w:hAnsi="宋体"/>
                <w:bCs/>
                <w:color w:val="FF0000"/>
                <w:sz w:val="18"/>
                <w:szCs w:val="18"/>
                <w:highlight w:val="none"/>
              </w:rPr>
              <w:t>违约情况：</w:t>
            </w:r>
            <w:r>
              <w:rPr>
                <w:rFonts w:hint="eastAsia" w:ascii="宋体" w:hAnsi="宋体"/>
                <w:color w:val="FF0000"/>
                <w:sz w:val="18"/>
                <w:szCs w:val="18"/>
                <w:highlight w:val="none"/>
              </w:rPr>
              <w:t>我部技术人员于X年X月X日跟岗作业中（作业令：1A2-01-01）发现XX-XX区间部分</w:t>
            </w:r>
            <w:r>
              <w:rPr>
                <w:rFonts w:hint="eastAsia" w:ascii="宋体" w:hAnsi="宋体"/>
                <w:color w:val="FF0000"/>
                <w:sz w:val="18"/>
                <w:szCs w:val="18"/>
                <w:highlight w:val="none"/>
                <w:lang w:val="en-US" w:eastAsia="zh-CN"/>
              </w:rPr>
              <w:t>XX设备</w:t>
            </w:r>
            <w:r>
              <w:rPr>
                <w:rFonts w:hint="eastAsia" w:ascii="宋体" w:hAnsi="宋体"/>
                <w:color w:val="FF0000"/>
                <w:sz w:val="18"/>
                <w:szCs w:val="18"/>
                <w:highlight w:val="none"/>
              </w:rPr>
              <w:t>存在锈蚀、松脱现象，且个别情况较为严重，而承包商在X年X月</w:t>
            </w:r>
            <w:r>
              <w:rPr>
                <w:rFonts w:hint="eastAsia" w:ascii="宋体" w:hAnsi="宋体"/>
                <w:color w:val="FF0000"/>
                <w:sz w:val="18"/>
                <w:szCs w:val="18"/>
                <w:highlight w:val="none"/>
                <w:lang w:val="en-US" w:eastAsia="zh-CN"/>
              </w:rPr>
              <w:t>XX设备</w:t>
            </w:r>
            <w:r>
              <w:rPr>
                <w:rFonts w:hint="eastAsia" w:ascii="宋体" w:hAnsi="宋体"/>
                <w:color w:val="FF0000"/>
                <w:sz w:val="18"/>
                <w:szCs w:val="18"/>
                <w:highlight w:val="none"/>
              </w:rPr>
              <w:t>月检中未能及时发现和处理，检修台账中也未记录，存在漏检现象。（举例）</w:t>
            </w:r>
          </w:p>
          <w:p>
            <w:pPr>
              <w:widowControl/>
              <w:snapToGrid w:val="0"/>
              <w:spacing w:before="0"/>
              <w:ind w:left="0" w:right="0" w:firstLine="0"/>
              <w:rPr>
                <w:rFonts w:ascii="宋体" w:hAnsi="宋体"/>
                <w:color w:val="FF0000"/>
                <w:sz w:val="18"/>
                <w:szCs w:val="18"/>
                <w:highlight w:val="none"/>
              </w:rPr>
            </w:pPr>
          </w:p>
          <w:p>
            <w:pPr>
              <w:widowControl/>
              <w:snapToGrid w:val="0"/>
              <w:spacing w:before="0"/>
              <w:ind w:left="0" w:right="0" w:firstLine="0"/>
              <w:rPr>
                <w:rFonts w:ascii="宋体" w:hAnsi="宋体"/>
                <w:color w:val="FF0000"/>
                <w:sz w:val="18"/>
                <w:szCs w:val="18"/>
                <w:highlight w:val="none"/>
              </w:rPr>
            </w:pPr>
            <w:r>
              <w:rPr>
                <w:rFonts w:hint="eastAsia" w:ascii="宋体" w:hAnsi="宋体"/>
                <w:bCs/>
                <w:color w:val="FF0000"/>
                <w:sz w:val="18"/>
                <w:szCs w:val="18"/>
                <w:highlight w:val="none"/>
              </w:rPr>
              <w:t>合同违约条款：</w:t>
            </w:r>
            <w:r>
              <w:rPr>
                <w:rFonts w:hint="eastAsia" w:ascii="宋体" w:hAnsi="宋体"/>
                <w:color w:val="FF0000"/>
                <w:sz w:val="18"/>
                <w:szCs w:val="18"/>
                <w:highlight w:val="none"/>
              </w:rPr>
              <w:t>《XXX项目合同》十二条之附表第26条款：“</w:t>
            </w:r>
            <w:r>
              <w:rPr>
                <w:rFonts w:ascii="宋体" w:hAnsi="宋体"/>
                <w:color w:val="FF0000"/>
                <w:sz w:val="18"/>
                <w:szCs w:val="18"/>
                <w:highlight w:val="none"/>
              </w:rPr>
              <w:t>乙方未按照《</w:t>
            </w:r>
            <w:r>
              <w:rPr>
                <w:rFonts w:hint="eastAsia" w:ascii="宋体" w:hAnsi="宋体"/>
                <w:color w:val="FF0000"/>
                <w:sz w:val="18"/>
                <w:szCs w:val="18"/>
                <w:highlight w:val="none"/>
              </w:rPr>
              <w:t>XXX</w:t>
            </w:r>
            <w:r>
              <w:rPr>
                <w:rFonts w:ascii="宋体" w:hAnsi="宋体"/>
                <w:color w:val="FF0000"/>
                <w:sz w:val="18"/>
                <w:szCs w:val="18"/>
                <w:highlight w:val="none"/>
              </w:rPr>
              <w:t>维修规程》规定的周期执行，发生漏检</w:t>
            </w:r>
            <w:r>
              <w:rPr>
                <w:rFonts w:hint="eastAsia" w:ascii="宋体" w:hAnsi="宋体"/>
                <w:color w:val="FF0000"/>
                <w:sz w:val="18"/>
                <w:szCs w:val="18"/>
                <w:highlight w:val="none"/>
              </w:rPr>
              <w:t>、</w:t>
            </w:r>
            <w:r>
              <w:rPr>
                <w:rFonts w:ascii="宋体" w:hAnsi="宋体"/>
                <w:color w:val="FF0000"/>
                <w:sz w:val="18"/>
                <w:szCs w:val="18"/>
                <w:highlight w:val="none"/>
              </w:rPr>
              <w:t>漏修月检内容</w:t>
            </w:r>
            <w:r>
              <w:rPr>
                <w:rFonts w:hint="eastAsia" w:ascii="宋体" w:hAnsi="宋体"/>
                <w:color w:val="FF0000"/>
                <w:sz w:val="18"/>
                <w:szCs w:val="18"/>
                <w:highlight w:val="none"/>
              </w:rPr>
              <w:t>或记录不完善，</w:t>
            </w:r>
            <w:r>
              <w:rPr>
                <w:rFonts w:ascii="宋体" w:hAnsi="宋体"/>
                <w:color w:val="FF0000"/>
                <w:sz w:val="18"/>
                <w:szCs w:val="18"/>
                <w:highlight w:val="none"/>
              </w:rPr>
              <w:t>每次</w:t>
            </w:r>
            <w:r>
              <w:rPr>
                <w:rFonts w:hint="eastAsia" w:ascii="宋体" w:hAnsi="宋体"/>
                <w:color w:val="FF0000"/>
                <w:sz w:val="18"/>
                <w:szCs w:val="18"/>
                <w:highlight w:val="none"/>
              </w:rPr>
              <w:t>每项</w:t>
            </w:r>
            <w:r>
              <w:rPr>
                <w:rFonts w:ascii="宋体" w:hAnsi="宋体"/>
                <w:color w:val="FF0000"/>
                <w:sz w:val="18"/>
                <w:szCs w:val="18"/>
                <w:highlight w:val="none"/>
              </w:rPr>
              <w:t>乙方向甲方支付</w:t>
            </w:r>
            <w:r>
              <w:rPr>
                <w:rFonts w:hint="eastAsia" w:ascii="宋体" w:hAnsi="宋体"/>
                <w:color w:val="FF0000"/>
                <w:sz w:val="18"/>
                <w:szCs w:val="18"/>
                <w:highlight w:val="none"/>
              </w:rPr>
              <w:t>500</w:t>
            </w:r>
            <w:r>
              <w:rPr>
                <w:rFonts w:ascii="宋体" w:hAnsi="宋体"/>
                <w:color w:val="FF0000"/>
                <w:sz w:val="18"/>
                <w:szCs w:val="18"/>
                <w:highlight w:val="none"/>
              </w:rPr>
              <w:t>元违约金</w:t>
            </w:r>
            <w:r>
              <w:rPr>
                <w:rFonts w:hint="eastAsia" w:ascii="宋体" w:hAnsi="宋体"/>
                <w:color w:val="FF0000"/>
                <w:sz w:val="18"/>
                <w:szCs w:val="18"/>
                <w:highlight w:val="none"/>
              </w:rPr>
              <w:t>，考核0.5分”。（举例）</w:t>
            </w:r>
          </w:p>
          <w:p>
            <w:pPr>
              <w:spacing w:line="300" w:lineRule="exact"/>
              <w:rPr>
                <w:rFonts w:ascii="宋体" w:hAnsi="宋体"/>
                <w:bCs/>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highlight w:val="none"/>
              </w:rPr>
            </w:pPr>
            <w:r>
              <w:rPr>
                <w:rFonts w:hint="eastAsia" w:ascii="宋体" w:hAnsi="宋体"/>
                <w:b/>
                <w:highlight w:val="none"/>
              </w:rPr>
              <w:t>违约处理意向</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snapToGrid w:val="0"/>
              <w:rPr>
                <w:rFonts w:ascii="宋体" w:hAnsi="宋体"/>
                <w:sz w:val="18"/>
                <w:szCs w:val="18"/>
                <w:highlight w:val="none"/>
              </w:rPr>
            </w:pPr>
          </w:p>
          <w:p>
            <w:pPr>
              <w:snapToGrid w:val="0"/>
              <w:spacing w:before="0" w:line="240" w:lineRule="auto"/>
              <w:ind w:left="0" w:right="0" w:firstLine="0"/>
              <w:rPr>
                <w:rFonts w:hint="eastAsia" w:ascii="宋体" w:hAnsi="宋体"/>
                <w:bCs/>
                <w:color w:val="FF0000"/>
                <w:sz w:val="18"/>
                <w:szCs w:val="18"/>
                <w:highlight w:val="none"/>
              </w:rPr>
            </w:pPr>
            <w:r>
              <w:rPr>
                <w:rFonts w:hint="eastAsia" w:ascii="宋体" w:hAnsi="宋体"/>
                <w:bCs/>
                <w:color w:val="FF0000"/>
                <w:sz w:val="18"/>
                <w:szCs w:val="18"/>
                <w:highlight w:val="none"/>
              </w:rPr>
              <w:t>根据《XXX项目合同》中第XX条，决定对你司处以：1.处罚违约金500元人民币整；2.在月度评价表中扣0.5分；3.所罚扣款项从季度进度款中扣取。（举例）</w:t>
            </w:r>
          </w:p>
          <w:p>
            <w:pPr>
              <w:spacing w:line="300" w:lineRule="exact"/>
              <w:rPr>
                <w:rFonts w:ascii="宋体" w:hAnsi="宋体"/>
                <w:bCs/>
                <w:szCs w:val="21"/>
                <w:highlight w:val="none"/>
              </w:rPr>
            </w:pPr>
            <w:r>
              <w:rPr>
                <w:rFonts w:hint="eastAsia" w:ascii="宋体" w:hAnsi="宋体"/>
                <w:bCs/>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528" w:type="dxa"/>
            <w:vMerge w:val="restart"/>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highlight w:val="none"/>
              </w:rPr>
            </w:pPr>
            <w:r>
              <w:rPr>
                <w:rFonts w:hint="eastAsia" w:ascii="宋体" w:hAnsi="宋体"/>
                <w:b/>
                <w:highlight w:val="none"/>
                <w:lang w:eastAsia="zh-CN"/>
              </w:rPr>
              <w:t>运营公司</w:t>
            </w:r>
            <w:r>
              <w:rPr>
                <w:rFonts w:hint="eastAsia" w:ascii="宋体" w:hAnsi="宋体"/>
                <w:b/>
                <w:highlight w:val="none"/>
              </w:rPr>
              <w:t>审批意见</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highlight w:val="none"/>
              </w:rPr>
            </w:pPr>
            <w:r>
              <w:rPr>
                <w:rFonts w:hint="eastAsia" w:ascii="宋体" w:hAnsi="宋体"/>
                <w:b/>
                <w:highlight w:val="none"/>
              </w:rPr>
              <w:t>主办部门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rPr>
                <w:rFonts w:ascii="宋体" w:hAnsi="宋体"/>
                <w:highlight w:val="none"/>
              </w:rPr>
            </w:pPr>
          </w:p>
          <w:p>
            <w:pPr>
              <w:ind w:right="113"/>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8" w:type="dxa"/>
            <w:vMerge w:val="continue"/>
            <w:tcBorders>
              <w:left w:val="thinThickSmallGap" w:color="auto" w:sz="18" w:space="0"/>
              <w:right w:val="single" w:color="auto" w:sz="4" w:space="0"/>
            </w:tcBorders>
            <w:noWrap w:val="0"/>
            <w:vAlign w:val="center"/>
          </w:tcPr>
          <w:p>
            <w:pPr>
              <w:jc w:val="center"/>
              <w:rPr>
                <w:rFonts w:hint="eastAsia" w:ascii="宋体" w:hAnsi="宋体"/>
                <w:b/>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b/>
                <w:highlight w:val="none"/>
                <w:lang w:eastAsia="zh-CN"/>
              </w:rPr>
            </w:pPr>
            <w:r>
              <w:rPr>
                <w:rFonts w:hint="eastAsia" w:ascii="宋体" w:hAnsi="宋体"/>
                <w:b/>
                <w:highlight w:val="none"/>
                <w:lang w:eastAsia="zh-CN"/>
              </w:rPr>
              <w:t>生产技术部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b/>
                <w:highlight w:val="none"/>
                <w:lang w:eastAsia="zh-CN"/>
              </w:rPr>
            </w:pPr>
            <w:r>
              <w:rPr>
                <w:rFonts w:hint="eastAsia" w:ascii="宋体" w:hAnsi="宋体"/>
                <w:b/>
                <w:highlight w:val="none"/>
                <w:lang w:eastAsia="zh-CN"/>
              </w:rPr>
              <w:t>合同预算部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left="113" w:right="113"/>
              <w:jc w:val="center"/>
              <w:rPr>
                <w:rFonts w:ascii="宋体" w:hAnsi="宋体" w:cs="宋体"/>
                <w:szCs w:val="21"/>
                <w:highlight w:val="none"/>
              </w:rPr>
            </w:pPr>
          </w:p>
          <w:p>
            <w:pPr>
              <w:ind w:right="113"/>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highlight w:val="none"/>
                <w:lang w:eastAsia="zh-CN"/>
              </w:rPr>
            </w:pPr>
            <w:r>
              <w:rPr>
                <w:rFonts w:hint="eastAsia" w:ascii="宋体" w:hAnsi="宋体"/>
                <w:b/>
                <w:highlight w:val="none"/>
                <w:lang w:eastAsia="zh-CN"/>
              </w:rPr>
              <w:t>主办部门</w:t>
            </w:r>
          </w:p>
          <w:p>
            <w:pPr>
              <w:jc w:val="center"/>
              <w:rPr>
                <w:rFonts w:hint="eastAsia" w:ascii="宋体" w:hAnsi="宋体"/>
                <w:b/>
                <w:highlight w:val="none"/>
              </w:rPr>
            </w:pPr>
            <w:r>
              <w:rPr>
                <w:rFonts w:hint="eastAsia" w:ascii="宋体" w:hAnsi="宋体"/>
                <w:b/>
                <w:highlight w:val="none"/>
              </w:rPr>
              <w:t>分管副总经理</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firstLine="840" w:firstLineChars="400"/>
              <w:rPr>
                <w:rFonts w:hint="eastAsia"/>
                <w:highlight w:val="none"/>
              </w:rPr>
            </w:pPr>
            <w:r>
              <w:rPr>
                <w:rFonts w:hint="eastAsia"/>
                <w:highlight w:val="none"/>
              </w:rPr>
              <w:t xml:space="preserve">                                              </w:t>
            </w:r>
          </w:p>
          <w:p>
            <w:pPr>
              <w:pStyle w:val="2"/>
              <w:rPr>
                <w:highlight w:val="none"/>
              </w:rPr>
            </w:pPr>
            <w:r>
              <w:rPr>
                <w:rFonts w:hint="eastAsia" w:hAnsi="宋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highlight w:val="none"/>
              </w:rPr>
            </w:pPr>
            <w:r>
              <w:rPr>
                <w:rFonts w:hint="eastAsia" w:ascii="宋体" w:hAnsi="宋体"/>
                <w:b/>
                <w:highlight w:val="none"/>
              </w:rPr>
              <w:t>总经理</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rPr>
                <w:rFonts w:ascii="宋体" w:hAnsi="宋体" w:cs="宋体"/>
                <w:szCs w:val="21"/>
                <w:highlight w:val="none"/>
              </w:rPr>
            </w:pPr>
          </w:p>
          <w:p>
            <w:pPr>
              <w:ind w:right="113"/>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trPr>
        <w:tc>
          <w:tcPr>
            <w:tcW w:w="528" w:type="dxa"/>
            <w:vMerge w:val="continue"/>
            <w:tcBorders>
              <w:left w:val="thinThickSmallGap" w:color="auto" w:sz="18" w:space="0"/>
              <w:bottom w:val="single" w:color="auto" w:sz="4" w:space="0"/>
              <w:right w:val="single" w:color="auto" w:sz="4" w:space="0"/>
            </w:tcBorders>
            <w:noWrap w:val="0"/>
            <w:vAlign w:val="center"/>
          </w:tcPr>
          <w:p>
            <w:pPr>
              <w:jc w:val="center"/>
              <w:rPr>
                <w:rFonts w:hint="eastAsia" w:ascii="宋体" w:hAnsi="宋体"/>
                <w:b/>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b/>
                <w:highlight w:val="none"/>
                <w:lang w:eastAsia="zh-CN"/>
              </w:rPr>
            </w:pPr>
            <w:r>
              <w:rPr>
                <w:rFonts w:hint="eastAsia" w:ascii="宋体" w:hAnsi="宋体"/>
                <w:b/>
                <w:highlight w:val="none"/>
                <w:lang w:eastAsia="zh-CN"/>
              </w:rPr>
              <w:t>董事长（执行董事）</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ind w:right="113"/>
              <w:rPr>
                <w:rFonts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122" w:type="dxa"/>
            <w:gridSpan w:val="2"/>
            <w:tcBorders>
              <w:top w:val="single" w:color="auto" w:sz="4" w:space="0"/>
              <w:left w:val="thinThickSmallGap" w:color="auto" w:sz="18" w:space="0"/>
              <w:bottom w:val="thinThickSmallGap" w:color="auto" w:sz="18" w:space="0"/>
              <w:right w:val="single" w:color="auto" w:sz="4" w:space="0"/>
            </w:tcBorders>
            <w:noWrap w:val="0"/>
            <w:vAlign w:val="center"/>
          </w:tcPr>
          <w:p>
            <w:pPr>
              <w:jc w:val="center"/>
              <w:rPr>
                <w:rFonts w:ascii="宋体" w:hAnsi="宋体"/>
                <w:b/>
                <w:highlight w:val="none"/>
              </w:rPr>
            </w:pPr>
            <w:r>
              <w:rPr>
                <w:rFonts w:hint="eastAsia" w:ascii="宋体" w:hAnsi="宋体"/>
                <w:b/>
                <w:highlight w:val="none"/>
              </w:rPr>
              <w:t>送达日期</w:t>
            </w:r>
          </w:p>
        </w:tc>
        <w:tc>
          <w:tcPr>
            <w:tcW w:w="1757" w:type="dxa"/>
            <w:tcBorders>
              <w:top w:val="single" w:color="auto" w:sz="4" w:space="0"/>
              <w:left w:val="single" w:color="auto" w:sz="4" w:space="0"/>
              <w:bottom w:val="thinThickSmallGap" w:color="auto" w:sz="18" w:space="0"/>
              <w:right w:val="single" w:color="auto" w:sz="4" w:space="0"/>
            </w:tcBorders>
            <w:noWrap w:val="0"/>
            <w:vAlign w:val="top"/>
          </w:tcPr>
          <w:p>
            <w:pPr>
              <w:widowControl/>
              <w:rPr>
                <w:rFonts w:ascii="宋体" w:hAnsi="宋体"/>
                <w:b/>
                <w:highlight w:val="none"/>
              </w:rPr>
            </w:pPr>
            <w:r>
              <w:rPr>
                <w:rFonts w:hint="eastAsia" w:ascii="宋体" w:hAnsi="宋体"/>
                <w:bCs/>
                <w:szCs w:val="21"/>
                <w:highlight w:val="none"/>
              </w:rPr>
              <w:t xml:space="preserve">            </w:t>
            </w:r>
          </w:p>
        </w:tc>
        <w:tc>
          <w:tcPr>
            <w:tcW w:w="1283" w:type="dxa"/>
            <w:tcBorders>
              <w:top w:val="single" w:color="auto" w:sz="4" w:space="0"/>
              <w:left w:val="single" w:color="auto" w:sz="4" w:space="0"/>
              <w:bottom w:val="thinThickSmallGap" w:color="auto" w:sz="18" w:space="0"/>
              <w:right w:val="single" w:color="auto" w:sz="4" w:space="0"/>
            </w:tcBorders>
            <w:noWrap w:val="0"/>
            <w:vAlign w:val="center"/>
          </w:tcPr>
          <w:p>
            <w:pPr>
              <w:widowControl/>
              <w:jc w:val="center"/>
              <w:rPr>
                <w:rFonts w:ascii="宋体" w:hAnsi="宋体"/>
                <w:bCs/>
                <w:szCs w:val="21"/>
                <w:highlight w:val="none"/>
              </w:rPr>
            </w:pPr>
            <w:r>
              <w:rPr>
                <w:rFonts w:hint="eastAsia" w:ascii="宋体" w:hAnsi="宋体"/>
                <w:b/>
                <w:szCs w:val="21"/>
                <w:highlight w:val="none"/>
              </w:rPr>
              <w:t>送达方式</w:t>
            </w:r>
          </w:p>
        </w:tc>
        <w:tc>
          <w:tcPr>
            <w:tcW w:w="5373" w:type="dxa"/>
            <w:gridSpan w:val="3"/>
            <w:tcBorders>
              <w:top w:val="single" w:color="auto" w:sz="4" w:space="0"/>
              <w:left w:val="single" w:color="auto" w:sz="4" w:space="0"/>
              <w:bottom w:val="thinThickSmallGap" w:color="auto" w:sz="18" w:space="0"/>
              <w:right w:val="thinThickSmallGap" w:color="auto" w:sz="18" w:space="0"/>
            </w:tcBorders>
            <w:noWrap w:val="0"/>
            <w:vAlign w:val="top"/>
          </w:tcPr>
          <w:p>
            <w:pPr>
              <w:widowControl/>
              <w:spacing w:before="0" w:line="240" w:lineRule="auto"/>
              <w:ind w:left="0" w:right="0" w:firstLine="0" w:firstLineChars="0"/>
              <w:rPr>
                <w:rFonts w:hint="eastAsia"/>
                <w:highlight w:val="none"/>
              </w:rPr>
            </w:pPr>
            <w:r>
              <w:rPr>
                <w:rFonts w:hint="eastAsia"/>
                <w:highlight w:val="none"/>
              </w:rPr>
              <w:t>直接送达</w:t>
            </w:r>
            <w:r>
              <w:rPr>
                <w:rFonts w:hint="eastAsia"/>
                <w:highlight w:val="none"/>
              </w:rPr>
              <w:sym w:font="Wingdings 2" w:char="00A3"/>
            </w:r>
            <w:r>
              <w:rPr>
                <w:rFonts w:hint="eastAsia"/>
                <w:highlight w:val="none"/>
              </w:rPr>
              <w:t xml:space="preserve">  签收人：</w:t>
            </w:r>
          </w:p>
          <w:p>
            <w:pPr>
              <w:pStyle w:val="2"/>
              <w:spacing w:before="0" w:line="240" w:lineRule="auto"/>
              <w:ind w:left="0" w:right="0"/>
              <w:rPr>
                <w:rFonts w:hint="eastAsia" w:ascii="Times New Roman" w:hAnsi="Times New Roman" w:cs="Times New Roman"/>
                <w:sz w:val="21"/>
                <w:szCs w:val="21"/>
                <w:highlight w:val="none"/>
              </w:rPr>
            </w:pPr>
            <w:r>
              <w:rPr>
                <w:rFonts w:hint="eastAsia"/>
                <w:highlight w:val="none"/>
              </w:rPr>
              <w:t xml:space="preserve">  留置</w:t>
            </w:r>
            <w:r>
              <w:rPr>
                <w:rFonts w:hint="eastAsia" w:ascii="Times New Roman" w:hAnsi="Times New Roman" w:cs="Times New Roman"/>
                <w:sz w:val="21"/>
                <w:szCs w:val="21"/>
                <w:highlight w:val="none"/>
              </w:rPr>
              <w:t>送达</w:t>
            </w:r>
            <w:r>
              <w:rPr>
                <w:rFonts w:hint="eastAsia" w:ascii="Times New Roman" w:hAnsi="Times New Roman" w:cs="Times New Roman"/>
                <w:sz w:val="21"/>
                <w:szCs w:val="21"/>
                <w:highlight w:val="none"/>
              </w:rPr>
              <w:sym w:font="Wingdings 2" w:char="00A3"/>
            </w:r>
            <w:r>
              <w:rPr>
                <w:rFonts w:hint="eastAsia" w:ascii="Times New Roman" w:hAnsi="Times New Roman" w:cs="Times New Roman"/>
                <w:sz w:val="21"/>
                <w:szCs w:val="21"/>
                <w:highlight w:val="none"/>
              </w:rPr>
              <w:t xml:space="preserve">  送达地址：                        </w:t>
            </w:r>
          </w:p>
          <w:p>
            <w:pPr>
              <w:pStyle w:val="2"/>
              <w:spacing w:before="0" w:line="240" w:lineRule="auto"/>
              <w:ind w:left="0" w:right="0"/>
              <w:rPr>
                <w:highlight w:val="none"/>
              </w:rPr>
            </w:pPr>
            <w:r>
              <w:rPr>
                <w:rFonts w:hint="eastAsia" w:ascii="Times New Roman" w:hAnsi="Times New Roman" w:cs="Times New Roman"/>
                <w:sz w:val="21"/>
                <w:szCs w:val="21"/>
                <w:highlight w:val="none"/>
              </w:rPr>
              <w:t xml:space="preserve">  电子送达</w:t>
            </w:r>
            <w:r>
              <w:rPr>
                <w:rFonts w:hint="eastAsia" w:ascii="Times New Roman" w:hAnsi="Times New Roman" w:cs="Times New Roman"/>
                <w:sz w:val="21"/>
                <w:szCs w:val="21"/>
                <w:highlight w:val="none"/>
              </w:rPr>
              <w:sym w:font="Wingdings 2" w:char="00A3"/>
            </w:r>
            <w:r>
              <w:rPr>
                <w:rFonts w:hint="eastAsia" w:ascii="Times New Roman" w:hAnsi="Times New Roman" w:cs="Times New Roman"/>
                <w:sz w:val="21"/>
                <w:szCs w:val="21"/>
                <w:highlight w:val="none"/>
              </w:rPr>
              <w:t xml:space="preserve">  </w:t>
            </w:r>
            <w:r>
              <w:rPr>
                <w:rFonts w:hint="eastAsia" w:ascii="Times New Roman" w:hAnsi="Times New Roman" w:cs="Times New Roman"/>
                <w:sz w:val="21"/>
                <w:szCs w:val="21"/>
                <w:highlight w:val="none"/>
                <w:lang w:val="en-US" w:eastAsia="zh-CN"/>
              </w:rPr>
              <w:t>收件人邮箱地址：</w:t>
            </w:r>
          </w:p>
        </w:tc>
      </w:tr>
    </w:tbl>
    <w:p>
      <w:pPr>
        <w:keepNext w:val="0"/>
        <w:keepLines w:val="0"/>
        <w:pageBreakBefore w:val="0"/>
        <w:widowControl w:val="0"/>
        <w:kinsoku/>
        <w:wordWrap/>
        <w:overflowPunct/>
        <w:topLinePunct w:val="0"/>
        <w:autoSpaceDE/>
        <w:autoSpaceDN/>
        <w:bidi w:val="0"/>
        <w:adjustRightInd/>
        <w:snapToGrid/>
        <w:spacing w:line="240" w:lineRule="exact"/>
        <w:ind w:left="-619" w:leftChars="-295" w:right="0" w:rightChars="0" w:firstLine="0" w:firstLineChars="0"/>
        <w:jc w:val="left"/>
        <w:textAlignment w:val="auto"/>
        <w:rPr>
          <w:rFonts w:hint="eastAsia" w:ascii="宋体" w:hAnsi="宋体"/>
          <w:sz w:val="18"/>
          <w:szCs w:val="18"/>
          <w:highlight w:val="none"/>
        </w:rPr>
      </w:pPr>
      <w:r>
        <w:rPr>
          <w:rFonts w:hint="eastAsia" w:ascii="宋体" w:hAnsi="宋体"/>
          <w:sz w:val="18"/>
          <w:szCs w:val="18"/>
          <w:highlight w:val="none"/>
        </w:rPr>
        <w:t>说明：</w:t>
      </w:r>
      <w:r>
        <w:rPr>
          <w:rFonts w:ascii="宋体" w:hAnsi="宋体"/>
          <w:sz w:val="18"/>
          <w:szCs w:val="18"/>
          <w:highlight w:val="none"/>
        </w:rPr>
        <w:t>1</w:t>
      </w:r>
      <w:r>
        <w:rPr>
          <w:rFonts w:hint="eastAsia" w:ascii="宋体" w:hAnsi="宋体"/>
          <w:sz w:val="18"/>
          <w:szCs w:val="18"/>
          <w:highlight w:val="none"/>
        </w:rPr>
        <w:t>.本</w:t>
      </w:r>
      <w:r>
        <w:rPr>
          <w:rFonts w:hint="eastAsia" w:ascii="宋体" w:hAnsi="宋体"/>
          <w:sz w:val="18"/>
          <w:szCs w:val="18"/>
          <w:highlight w:val="none"/>
          <w:lang w:eastAsia="zh-CN"/>
        </w:rPr>
        <w:t>表单</w:t>
      </w:r>
      <w:r>
        <w:rPr>
          <w:rFonts w:hint="eastAsia" w:ascii="宋体" w:hAnsi="宋体"/>
          <w:sz w:val="18"/>
          <w:szCs w:val="18"/>
          <w:highlight w:val="none"/>
        </w:rPr>
        <w:t>一式三份，承包商执一份，</w:t>
      </w:r>
      <w:r>
        <w:rPr>
          <w:rFonts w:hint="eastAsia" w:ascii="宋体" w:hAnsi="宋体"/>
          <w:sz w:val="18"/>
          <w:szCs w:val="18"/>
          <w:highlight w:val="none"/>
          <w:lang w:eastAsia="zh-CN"/>
        </w:rPr>
        <w:t>运营公司</w:t>
      </w:r>
      <w:r>
        <w:rPr>
          <w:rFonts w:hint="eastAsia" w:ascii="宋体" w:hAnsi="宋体"/>
          <w:sz w:val="18"/>
          <w:szCs w:val="18"/>
          <w:highlight w:val="none"/>
        </w:rPr>
        <w:t>执两份，由</w:t>
      </w:r>
      <w:r>
        <w:rPr>
          <w:rFonts w:hint="eastAsia" w:ascii="宋体" w:hAnsi="宋体"/>
          <w:sz w:val="18"/>
          <w:szCs w:val="18"/>
          <w:highlight w:val="none"/>
          <w:lang w:eastAsia="zh-CN"/>
        </w:rPr>
        <w:t>运营公司主办部门</w:t>
      </w:r>
      <w:r>
        <w:rPr>
          <w:rFonts w:hint="eastAsia" w:ascii="宋体" w:hAnsi="宋体"/>
          <w:sz w:val="18"/>
          <w:szCs w:val="18"/>
          <w:highlight w:val="none"/>
        </w:rPr>
        <w:t>在合同执行过程中发现问题时填写；</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sz w:val="18"/>
          <w:szCs w:val="18"/>
          <w:highlight w:val="none"/>
        </w:rPr>
      </w:pPr>
      <w:r>
        <w:rPr>
          <w:rFonts w:hint="eastAsia" w:ascii="宋体" w:hAnsi="宋体"/>
          <w:sz w:val="18"/>
          <w:szCs w:val="18"/>
          <w:highlight w:val="none"/>
        </w:rPr>
        <w:t>2.承包商若对本次违约处理有意见，须在</w:t>
      </w:r>
      <w:r>
        <w:rPr>
          <w:rFonts w:hint="eastAsia" w:ascii="宋体" w:hAnsi="宋体"/>
          <w:sz w:val="18"/>
          <w:szCs w:val="18"/>
          <w:highlight w:val="none"/>
          <w:lang w:eastAsia="zh-CN"/>
        </w:rPr>
        <w:t>本表单</w:t>
      </w:r>
      <w:r>
        <w:rPr>
          <w:rFonts w:hint="eastAsia" w:ascii="宋体" w:hAnsi="宋体"/>
          <w:sz w:val="18"/>
          <w:szCs w:val="18"/>
          <w:highlight w:val="none"/>
        </w:rPr>
        <w:t>送达后2个工作日内向</w:t>
      </w:r>
      <w:r>
        <w:rPr>
          <w:rFonts w:hint="eastAsia" w:ascii="宋体" w:hAnsi="宋体"/>
          <w:sz w:val="18"/>
          <w:szCs w:val="18"/>
          <w:highlight w:val="none"/>
          <w:lang w:eastAsia="zh-CN"/>
        </w:rPr>
        <w:t>运营公司</w:t>
      </w:r>
      <w:r>
        <w:rPr>
          <w:rFonts w:hint="eastAsia" w:ascii="宋体" w:hAnsi="宋体"/>
          <w:sz w:val="18"/>
          <w:szCs w:val="18"/>
          <w:highlight w:val="none"/>
        </w:rPr>
        <w:t>主办部门提交正式申诉材料提出申诉，否则视为接受违约处理意见，主办部门在收到申诉材料后须在5个工作日给予回复；</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sz w:val="18"/>
          <w:szCs w:val="18"/>
          <w:highlight w:val="none"/>
        </w:rPr>
      </w:pPr>
      <w:r>
        <w:rPr>
          <w:rFonts w:hint="eastAsia" w:ascii="宋体" w:hAnsi="宋体"/>
          <w:sz w:val="18"/>
          <w:szCs w:val="18"/>
          <w:highlight w:val="none"/>
        </w:rPr>
        <w:t>3.本</w:t>
      </w:r>
      <w:r>
        <w:rPr>
          <w:rFonts w:hint="eastAsia" w:ascii="宋体" w:hAnsi="宋体"/>
          <w:sz w:val="18"/>
          <w:szCs w:val="18"/>
          <w:highlight w:val="none"/>
          <w:lang w:eastAsia="zh-CN"/>
        </w:rPr>
        <w:t>表单</w:t>
      </w:r>
      <w:r>
        <w:rPr>
          <w:rFonts w:hint="eastAsia" w:ascii="宋体" w:hAnsi="宋体"/>
          <w:sz w:val="18"/>
          <w:szCs w:val="18"/>
          <w:highlight w:val="none"/>
        </w:rPr>
        <w:t>按照违约处理决定的金额和授权方案逐级签批或用印，5000元</w:t>
      </w:r>
      <w:r>
        <w:rPr>
          <w:rFonts w:hint="eastAsia" w:ascii="宋体" w:hAnsi="宋体"/>
          <w:sz w:val="18"/>
          <w:szCs w:val="18"/>
          <w:highlight w:val="none"/>
          <w:lang w:eastAsia="zh-CN"/>
        </w:rPr>
        <w:t>（含）以下</w:t>
      </w:r>
      <w:r>
        <w:rPr>
          <w:rFonts w:hint="eastAsia" w:ascii="宋体" w:hAnsi="宋体"/>
          <w:sz w:val="18"/>
          <w:szCs w:val="18"/>
          <w:highlight w:val="none"/>
        </w:rPr>
        <w:t>由主办部门签批，5000</w:t>
      </w:r>
      <w:r>
        <w:rPr>
          <w:rFonts w:hint="eastAsia" w:ascii="宋体" w:hAnsi="宋体"/>
          <w:sz w:val="18"/>
          <w:szCs w:val="18"/>
          <w:highlight w:val="none"/>
          <w:lang w:eastAsia="zh-CN"/>
        </w:rPr>
        <w:t>元</w:t>
      </w:r>
      <w:r>
        <w:rPr>
          <w:rFonts w:hint="eastAsia" w:ascii="宋体" w:hAnsi="宋体"/>
          <w:sz w:val="18"/>
          <w:szCs w:val="18"/>
          <w:highlight w:val="none"/>
        </w:rPr>
        <w:t>（不含）-10000元</w:t>
      </w:r>
      <w:r>
        <w:rPr>
          <w:rFonts w:hint="eastAsia" w:ascii="宋体" w:hAnsi="宋体"/>
          <w:sz w:val="18"/>
          <w:szCs w:val="18"/>
          <w:highlight w:val="none"/>
          <w:lang w:eastAsia="zh-CN"/>
        </w:rPr>
        <w:t>（含）签批至</w:t>
      </w:r>
      <w:r>
        <w:rPr>
          <w:rFonts w:hint="eastAsia" w:ascii="宋体" w:hAnsi="宋体"/>
          <w:sz w:val="18"/>
          <w:szCs w:val="18"/>
          <w:highlight w:val="none"/>
        </w:rPr>
        <w:t>分管</w:t>
      </w:r>
      <w:r>
        <w:rPr>
          <w:rFonts w:hint="eastAsia" w:ascii="宋体" w:hAnsi="宋体"/>
          <w:sz w:val="18"/>
          <w:szCs w:val="18"/>
          <w:highlight w:val="none"/>
          <w:lang w:eastAsia="zh-CN"/>
        </w:rPr>
        <w:t>主办部门的</w:t>
      </w:r>
      <w:r>
        <w:rPr>
          <w:rFonts w:hint="eastAsia" w:ascii="宋体" w:hAnsi="宋体"/>
          <w:sz w:val="18"/>
          <w:szCs w:val="18"/>
          <w:highlight w:val="none"/>
        </w:rPr>
        <w:t>副总经理并用</w:t>
      </w:r>
      <w:r>
        <w:rPr>
          <w:rFonts w:hint="eastAsia" w:ascii="宋体" w:hAnsi="宋体"/>
          <w:sz w:val="18"/>
          <w:szCs w:val="18"/>
          <w:highlight w:val="none"/>
          <w:lang w:eastAsia="zh-CN"/>
        </w:rPr>
        <w:t>运营公司</w:t>
      </w:r>
      <w:r>
        <w:rPr>
          <w:rFonts w:hint="eastAsia" w:ascii="宋体" w:hAnsi="宋体"/>
          <w:sz w:val="18"/>
          <w:szCs w:val="18"/>
          <w:highlight w:val="none"/>
        </w:rPr>
        <w:t>印，10000元</w:t>
      </w:r>
      <w:r>
        <w:rPr>
          <w:rFonts w:hint="eastAsia" w:ascii="宋体" w:hAnsi="宋体"/>
          <w:sz w:val="18"/>
          <w:szCs w:val="18"/>
          <w:highlight w:val="none"/>
          <w:lang w:eastAsia="zh-CN"/>
        </w:rPr>
        <w:t>（不含）</w:t>
      </w:r>
      <w:r>
        <w:rPr>
          <w:rFonts w:hint="eastAsia" w:ascii="宋体" w:hAnsi="宋体"/>
          <w:sz w:val="18"/>
          <w:szCs w:val="18"/>
          <w:highlight w:val="none"/>
          <w:lang w:val="en-US" w:eastAsia="zh-CN"/>
        </w:rPr>
        <w:t>-20000元（含）</w:t>
      </w:r>
      <w:r>
        <w:rPr>
          <w:rFonts w:hint="eastAsia" w:ascii="宋体" w:hAnsi="宋体"/>
          <w:sz w:val="18"/>
          <w:szCs w:val="18"/>
          <w:highlight w:val="none"/>
          <w:lang w:eastAsia="zh-CN"/>
        </w:rPr>
        <w:t>签批至</w:t>
      </w:r>
      <w:r>
        <w:rPr>
          <w:rFonts w:hint="eastAsia" w:ascii="宋体" w:hAnsi="宋体"/>
          <w:sz w:val="18"/>
          <w:szCs w:val="18"/>
          <w:highlight w:val="none"/>
        </w:rPr>
        <w:t>总经理</w:t>
      </w:r>
      <w:r>
        <w:rPr>
          <w:rFonts w:hint="eastAsia" w:ascii="宋体" w:hAnsi="宋体"/>
          <w:sz w:val="18"/>
          <w:szCs w:val="18"/>
          <w:highlight w:val="none"/>
          <w:lang w:eastAsia="zh-CN"/>
        </w:rPr>
        <w:t>同时报董事长（执行董事）知悉</w:t>
      </w:r>
      <w:r>
        <w:rPr>
          <w:rFonts w:hint="eastAsia" w:ascii="宋体" w:hAnsi="宋体"/>
          <w:sz w:val="18"/>
          <w:szCs w:val="18"/>
          <w:highlight w:val="none"/>
        </w:rPr>
        <w:t>并用</w:t>
      </w:r>
      <w:r>
        <w:rPr>
          <w:rFonts w:hint="eastAsia" w:ascii="宋体" w:hAnsi="宋体"/>
          <w:sz w:val="18"/>
          <w:szCs w:val="18"/>
          <w:highlight w:val="none"/>
          <w:lang w:eastAsia="zh-CN"/>
        </w:rPr>
        <w:t>运营公司</w:t>
      </w:r>
      <w:r>
        <w:rPr>
          <w:rFonts w:hint="eastAsia" w:ascii="宋体" w:hAnsi="宋体"/>
          <w:sz w:val="18"/>
          <w:szCs w:val="18"/>
          <w:highlight w:val="none"/>
        </w:rPr>
        <w:t>印</w:t>
      </w:r>
      <w:r>
        <w:rPr>
          <w:rFonts w:hint="eastAsia" w:ascii="宋体" w:hAnsi="宋体"/>
          <w:sz w:val="18"/>
          <w:szCs w:val="18"/>
          <w:highlight w:val="none"/>
          <w:lang w:eastAsia="zh-CN"/>
        </w:rPr>
        <w:t>，</w:t>
      </w:r>
      <w:r>
        <w:rPr>
          <w:rFonts w:hint="eastAsia" w:ascii="宋体" w:hAnsi="宋体"/>
          <w:sz w:val="18"/>
          <w:szCs w:val="18"/>
          <w:highlight w:val="none"/>
          <w:lang w:val="en-US" w:eastAsia="zh-CN"/>
        </w:rPr>
        <w:t>20000元（不含）以上签批至董事长（执行董事）并用运营公司印</w:t>
      </w:r>
      <w:r>
        <w:rPr>
          <w:rFonts w:hint="eastAsia" w:ascii="宋体" w:hAnsi="宋体"/>
          <w:sz w:val="18"/>
          <w:szCs w:val="18"/>
          <w:highlight w:val="none"/>
        </w:rPr>
        <w:t>；</w:t>
      </w:r>
    </w:p>
    <w:p>
      <w:pPr>
        <w:numPr>
          <w:ilvl w:val="255"/>
          <w:numId w:val="0"/>
        </w:numPr>
        <w:tabs>
          <w:tab w:val="center" w:pos="4363"/>
        </w:tabs>
        <w:spacing w:before="0" w:line="240" w:lineRule="auto"/>
        <w:ind w:right="0"/>
        <w:rPr>
          <w:rFonts w:ascii="宋体" w:hAnsi="宋体" w:cs="Arial"/>
        </w:rPr>
        <w:sectPr>
          <w:pgSz w:w="11905" w:h="16838"/>
          <w:pgMar w:top="1417" w:right="1417" w:bottom="1417" w:left="1417" w:header="454" w:footer="567" w:gutter="0"/>
          <w:pgNumType w:fmt="decimal"/>
          <w:cols w:space="720" w:num="1"/>
          <w:docGrid w:linePitch="312" w:charSpace="0"/>
        </w:sectPr>
      </w:pPr>
      <w:r>
        <w:rPr>
          <w:rFonts w:hint="eastAsia" w:ascii="宋体" w:hAnsi="宋体"/>
          <w:b w:val="0"/>
          <w:sz w:val="18"/>
          <w:szCs w:val="18"/>
          <w:highlight w:val="none"/>
        </w:rPr>
        <w:t>4.本</w:t>
      </w:r>
      <w:r>
        <w:rPr>
          <w:rFonts w:hint="eastAsia" w:ascii="宋体" w:hAnsi="宋体"/>
          <w:b w:val="0"/>
          <w:sz w:val="18"/>
          <w:szCs w:val="18"/>
          <w:highlight w:val="none"/>
          <w:lang w:eastAsia="zh-CN"/>
        </w:rPr>
        <w:t>表单</w:t>
      </w:r>
      <w:r>
        <w:rPr>
          <w:rFonts w:hint="eastAsia" w:ascii="宋体" w:hAnsi="宋体"/>
          <w:b w:val="0"/>
          <w:sz w:val="18"/>
          <w:szCs w:val="18"/>
          <w:highlight w:val="none"/>
        </w:rPr>
        <w:t>自送达之日起生效。送达时间基准为</w:t>
      </w:r>
      <w:r>
        <w:rPr>
          <w:rFonts w:hint="eastAsia" w:ascii="宋体" w:hAnsi="宋体"/>
          <w:b w:val="0"/>
          <w:sz w:val="18"/>
          <w:szCs w:val="18"/>
          <w:highlight w:val="none"/>
          <w:lang w:eastAsia="zh-CN"/>
        </w:rPr>
        <w:t>：（</w:t>
      </w:r>
      <w:r>
        <w:rPr>
          <w:rFonts w:hint="eastAsia" w:ascii="宋体" w:hAnsi="宋体"/>
          <w:b w:val="0"/>
          <w:sz w:val="18"/>
          <w:szCs w:val="18"/>
          <w:highlight w:val="none"/>
          <w:lang w:val="en-US" w:eastAsia="zh-CN"/>
        </w:rPr>
        <w:t>1</w:t>
      </w:r>
      <w:r>
        <w:rPr>
          <w:rFonts w:hint="eastAsia" w:ascii="宋体" w:hAnsi="宋体"/>
          <w:b w:val="0"/>
          <w:sz w:val="18"/>
          <w:szCs w:val="18"/>
          <w:highlight w:val="none"/>
          <w:lang w:eastAsia="zh-CN"/>
        </w:rPr>
        <w:t>）</w:t>
      </w:r>
      <w:r>
        <w:rPr>
          <w:rFonts w:hint="eastAsia" w:ascii="宋体" w:hAnsi="宋体"/>
          <w:b w:val="0"/>
          <w:sz w:val="18"/>
          <w:szCs w:val="18"/>
          <w:highlight w:val="none"/>
        </w:rPr>
        <w:t>直接送达以签收人签收时间为准；（2）留置送达以</w:t>
      </w:r>
      <w:r>
        <w:rPr>
          <w:rFonts w:hint="eastAsia" w:ascii="宋体" w:hAnsi="宋体"/>
          <w:b w:val="0"/>
          <w:sz w:val="18"/>
          <w:szCs w:val="18"/>
          <w:highlight w:val="none"/>
          <w:lang w:eastAsia="zh-CN"/>
        </w:rPr>
        <w:t>本表单</w:t>
      </w:r>
      <w:r>
        <w:rPr>
          <w:rFonts w:hint="eastAsia" w:ascii="宋体" w:hAnsi="宋体"/>
          <w:b w:val="0"/>
          <w:sz w:val="18"/>
          <w:szCs w:val="18"/>
          <w:highlight w:val="none"/>
        </w:rPr>
        <w:t>送达指定地点时间为准</w:t>
      </w:r>
      <w:r>
        <w:rPr>
          <w:rFonts w:hint="eastAsia" w:ascii="宋体" w:hAnsi="宋体"/>
          <w:b w:val="0"/>
          <w:sz w:val="18"/>
          <w:szCs w:val="18"/>
          <w:highlight w:val="none"/>
          <w:lang w:eastAsia="zh-CN"/>
        </w:rPr>
        <w:t>，</w:t>
      </w:r>
      <w:r>
        <w:rPr>
          <w:rFonts w:hint="eastAsia" w:ascii="宋体" w:hAnsi="宋体"/>
          <w:b w:val="0"/>
          <w:sz w:val="18"/>
          <w:szCs w:val="18"/>
          <w:highlight w:val="none"/>
        </w:rPr>
        <w:t>如出现拒签</w:t>
      </w:r>
      <w:r>
        <w:rPr>
          <w:rFonts w:hint="eastAsia" w:ascii="宋体" w:hAnsi="宋体"/>
          <w:b w:val="0"/>
          <w:sz w:val="18"/>
          <w:szCs w:val="18"/>
          <w:highlight w:val="none"/>
          <w:lang w:eastAsia="zh-CN"/>
        </w:rPr>
        <w:t>的</w:t>
      </w:r>
      <w:r>
        <w:rPr>
          <w:rFonts w:hint="eastAsia" w:ascii="宋体" w:hAnsi="宋体"/>
          <w:b w:val="0"/>
          <w:sz w:val="18"/>
          <w:szCs w:val="18"/>
          <w:highlight w:val="none"/>
        </w:rPr>
        <w:t>情况以</w:t>
      </w:r>
      <w:r>
        <w:rPr>
          <w:rFonts w:hint="eastAsia" w:ascii="宋体" w:hAnsi="宋体"/>
          <w:b w:val="0"/>
          <w:sz w:val="18"/>
          <w:szCs w:val="18"/>
          <w:highlight w:val="none"/>
          <w:lang w:eastAsia="zh-CN"/>
        </w:rPr>
        <w:t>本表单</w:t>
      </w:r>
      <w:r>
        <w:rPr>
          <w:rFonts w:hint="eastAsia" w:ascii="宋体" w:hAnsi="宋体"/>
          <w:b w:val="0"/>
          <w:sz w:val="18"/>
          <w:szCs w:val="18"/>
          <w:highlight w:val="none"/>
        </w:rPr>
        <w:t>送达指定地点时派送人现场照片或物流信息显示送达时间为准；（3）电子送达以发送人发出</w:t>
      </w:r>
      <w:r>
        <w:rPr>
          <w:rFonts w:hint="eastAsia" w:ascii="宋体" w:hAnsi="宋体"/>
          <w:b w:val="0"/>
          <w:sz w:val="18"/>
          <w:szCs w:val="18"/>
          <w:highlight w:val="none"/>
          <w:lang w:eastAsia="zh-CN"/>
        </w:rPr>
        <w:t>电子邮件</w:t>
      </w:r>
      <w:r>
        <w:rPr>
          <w:rFonts w:hint="eastAsia" w:ascii="宋体" w:hAnsi="宋体"/>
          <w:b w:val="0"/>
          <w:sz w:val="18"/>
          <w:szCs w:val="18"/>
          <w:highlight w:val="none"/>
        </w:rPr>
        <w:t>时间为准</w:t>
      </w:r>
    </w:p>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Pr>
        <w:pStyle w:val="2"/>
        <w:ind w:left="0" w:right="-57" w:firstLine="0"/>
        <w:jc w:val="center"/>
        <w:outlineLvl w:val="0"/>
        <w:rPr>
          <w:rStyle w:val="42"/>
          <w:rFonts w:ascii="宋体" w:hAnsi="宋体" w:eastAsia="宋体"/>
        </w:rPr>
      </w:pPr>
      <w:bookmarkStart w:id="1203" w:name="_Toc8352"/>
      <w:bookmarkStart w:id="1204" w:name="_Toc32021"/>
      <w:bookmarkStart w:id="1205" w:name="_Toc27905"/>
      <w:bookmarkStart w:id="1206" w:name="_Toc25750673"/>
      <w:bookmarkStart w:id="1207" w:name="_Toc6151"/>
      <w:bookmarkStart w:id="1208" w:name="_Toc31574"/>
      <w:bookmarkStart w:id="1209" w:name="_Toc17261"/>
      <w:bookmarkStart w:id="1210" w:name="_Toc11320"/>
      <w:bookmarkStart w:id="1211" w:name="_Toc30920"/>
      <w:bookmarkStart w:id="1212" w:name="_Toc25306"/>
      <w:bookmarkStart w:id="1213" w:name="_Toc13167"/>
      <w:bookmarkStart w:id="1214" w:name="_Toc7923"/>
      <w:bookmarkStart w:id="1215" w:name="_Toc20581"/>
      <w:bookmarkStart w:id="1216" w:name="_Toc29546"/>
      <w:bookmarkStart w:id="1217" w:name="_Toc17396"/>
      <w:bookmarkStart w:id="1218" w:name="_Toc24227"/>
      <w:bookmarkStart w:id="1219" w:name="_Toc14790"/>
      <w:bookmarkStart w:id="1220" w:name="_Toc28677"/>
      <w:bookmarkStart w:id="1221" w:name="_Toc21689"/>
      <w:bookmarkStart w:id="1222" w:name="_Toc31873"/>
      <w:bookmarkStart w:id="1223" w:name="_Toc27263"/>
      <w:bookmarkStart w:id="1224" w:name="_Toc4374"/>
      <w:bookmarkStart w:id="1225" w:name="_Toc32011"/>
      <w:bookmarkStart w:id="1226" w:name="_Toc28285"/>
      <w:r>
        <w:rPr>
          <w:rStyle w:val="42"/>
          <w:rFonts w:hint="eastAsia" w:ascii="宋体" w:hAnsi="宋体" w:eastAsia="宋体"/>
        </w:rPr>
        <w:t>第四章比选申请文件格式</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5"/>
        <w:spacing w:after="100"/>
        <w:ind w:right="-57"/>
        <w:jc w:val="center"/>
        <w:rPr>
          <w:sz w:val="24"/>
          <w:szCs w:val="24"/>
        </w:rPr>
      </w:pPr>
      <w:bookmarkStart w:id="1227" w:name="_Toc11861"/>
      <w:bookmarkStart w:id="1228" w:name="_Toc27482"/>
      <w:bookmarkStart w:id="1229" w:name="_Toc2754"/>
      <w:bookmarkStart w:id="1230" w:name="_Toc4255"/>
      <w:bookmarkStart w:id="1231" w:name="_Toc25750674"/>
      <w:bookmarkStart w:id="1232" w:name="_Toc1016"/>
      <w:bookmarkStart w:id="1233" w:name="_Toc16250"/>
      <w:bookmarkStart w:id="1234" w:name="_Toc31624"/>
      <w:bookmarkStart w:id="1235" w:name="_Toc30705"/>
      <w:bookmarkStart w:id="1236" w:name="_Toc25325"/>
      <w:bookmarkStart w:id="1237" w:name="_Toc492478802"/>
      <w:bookmarkStart w:id="1238" w:name="_Toc24453"/>
      <w:bookmarkStart w:id="1239" w:name="_Toc12983549"/>
      <w:bookmarkStart w:id="1240" w:name="_Toc16671"/>
      <w:bookmarkStart w:id="1241" w:name="_Toc23261"/>
      <w:bookmarkStart w:id="1242" w:name="_Toc4027"/>
      <w:bookmarkStart w:id="1243" w:name="_Toc19412"/>
      <w:bookmarkStart w:id="1244" w:name="_Toc361"/>
      <w:bookmarkStart w:id="1245" w:name="_Toc3396"/>
      <w:bookmarkStart w:id="1246" w:name="_Toc32185"/>
      <w:bookmarkStart w:id="1247" w:name="_Toc24824"/>
      <w:bookmarkStart w:id="1248" w:name="_Toc31535"/>
      <w:bookmarkStart w:id="1249" w:name="_Toc12984805"/>
      <w:bookmarkStart w:id="1250" w:name="_Toc414290520"/>
      <w:bookmarkStart w:id="1251" w:name="_Toc6941"/>
      <w:bookmarkStart w:id="1252" w:name="_Toc22709"/>
      <w:bookmarkStart w:id="1253" w:name="_Toc4873"/>
      <w:bookmarkStart w:id="1254" w:name="_Toc21274"/>
      <w:r>
        <w:rPr>
          <w:sz w:val="24"/>
          <w:szCs w:val="24"/>
        </w:rPr>
        <w:t>A  资格审查</w:t>
      </w:r>
      <w:r>
        <w:rPr>
          <w:rFonts w:hint="eastAsia"/>
          <w:sz w:val="24"/>
          <w:szCs w:val="24"/>
        </w:rPr>
        <w:t>文件</w:t>
      </w:r>
      <w:bookmarkEnd w:id="1227"/>
      <w:bookmarkEnd w:id="1228"/>
      <w:bookmarkEnd w:id="1229"/>
      <w:bookmarkEnd w:id="1230"/>
      <w:bookmarkEnd w:id="1231"/>
      <w:bookmarkEnd w:id="1232"/>
      <w:bookmarkEnd w:id="1233"/>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rPr>
          <w:rFonts w:ascii="宋体" w:hAnsi="宋体" w:cs="宋体"/>
        </w:rPr>
      </w:pPr>
      <w:r>
        <w:rPr>
          <w:rFonts w:hint="eastAsia" w:ascii="宋体" w:hAnsi="宋体" w:cs="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rFonts w:ascii="宋体" w:hAnsi="宋体" w:cs="宋体"/>
        </w:rPr>
      </w:pPr>
      <w:r>
        <w:rPr>
          <w:rFonts w:hint="eastAsia" w:ascii="宋体" w:hAnsi="宋体" w:cs="宋体"/>
        </w:rPr>
        <w:t>（2）比选申请人有效的营业执照副本复印件或事业单位法人证书复印件等证明文件；</w:t>
      </w:r>
    </w:p>
    <w:p>
      <w:pPr>
        <w:tabs>
          <w:tab w:val="left" w:pos="1134"/>
        </w:tabs>
        <w:spacing w:before="0" w:after="0" w:afterAutospacing="0"/>
        <w:ind w:left="0" w:right="0" w:firstLine="420" w:firstLineChars="200"/>
        <w:rPr>
          <w:rFonts w:ascii="宋体" w:hAnsi="宋体" w:cs="宋体"/>
        </w:rPr>
      </w:pPr>
      <w:r>
        <w:rPr>
          <w:rFonts w:hint="eastAsia" w:ascii="宋体" w:hAnsi="宋体" w:cs="宋体"/>
        </w:rPr>
        <w:t>（3）CMA（检验检测机构资质认定证书）与CNAS（中国合格评定国家认可委员会实验室认可证书）资质证明文件；</w:t>
      </w:r>
    </w:p>
    <w:p>
      <w:pPr>
        <w:spacing w:before="0" w:after="0" w:afterAutospacing="0"/>
        <w:ind w:left="0" w:right="0" w:firstLine="420" w:firstLineChars="200"/>
        <w:rPr>
          <w:rFonts w:ascii="宋体" w:hAnsi="宋体" w:cs="宋体"/>
        </w:rPr>
      </w:pPr>
      <w:r>
        <w:rPr>
          <w:rFonts w:hint="eastAsia" w:ascii="宋体" w:hAnsi="宋体" w:cs="宋体"/>
        </w:rPr>
        <w:t>（4）承诺书（格式见A3）；</w:t>
      </w:r>
    </w:p>
    <w:p>
      <w:pPr>
        <w:spacing w:before="0" w:after="0" w:afterAutospacing="0"/>
        <w:ind w:left="0" w:right="0" w:firstLine="420" w:firstLineChars="200"/>
        <w:rPr>
          <w:rFonts w:ascii="宋体" w:hAnsi="宋体" w:cs="宋体"/>
        </w:rPr>
      </w:pPr>
      <w:r>
        <w:rPr>
          <w:rFonts w:hint="eastAsia" w:ascii="宋体" w:hAnsi="宋体" w:cs="宋体"/>
        </w:rPr>
        <w:t>（5）类似项目业绩表（格式见A4）。</w:t>
      </w:r>
    </w:p>
    <w:p>
      <w:pPr>
        <w:spacing w:before="0" w:after="0" w:afterAutospacing="0"/>
        <w:ind w:left="0" w:right="0" w:firstLine="420" w:firstLineChars="200"/>
        <w:rPr>
          <w:rFonts w:ascii="宋体" w:hAnsi="宋体" w:cs="宋体"/>
        </w:rPr>
      </w:pPr>
      <w:r>
        <w:rPr>
          <w:rFonts w:hint="eastAsia" w:ascii="宋体" w:hAnsi="宋体" w:cs="宋体"/>
        </w:rPr>
        <w:t>（6）比选申请人认为应提交的其他比选申请资料（如有）。</w:t>
      </w:r>
    </w:p>
    <w:p>
      <w:pPr>
        <w:spacing w:before="0" w:after="0" w:afterAutospacing="0"/>
        <w:ind w:left="0" w:right="0" w:firstLine="420" w:firstLineChars="200"/>
        <w:rPr>
          <w:rFonts w:ascii="宋体" w:hAnsi="宋体" w:cs="宋体"/>
        </w:rPr>
      </w:pPr>
      <w:r>
        <w:rPr>
          <w:rFonts w:hint="eastAsia" w:ascii="宋体" w:hAnsi="宋体" w:cs="宋体"/>
        </w:rPr>
        <w:t>注：以上提供的复印件必须加盖比选申请人公章。</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rPr>
          <w:rFonts w:ascii="宋体" w:hAnsi="宋体"/>
          <w:b/>
        </w:rPr>
      </w:pPr>
      <w:r>
        <w:rPr>
          <w:rFonts w:ascii="宋体" w:hAnsi="宋体"/>
          <w:b/>
        </w:rPr>
        <w:br w:type="page"/>
      </w:r>
    </w:p>
    <w:p>
      <w:pPr>
        <w:numPr>
          <w:ilvl w:val="1"/>
          <w:numId w:val="7"/>
        </w:numPr>
        <w:snapToGrid w:val="0"/>
        <w:spacing w:before="0" w:line="240" w:lineRule="auto"/>
        <w:ind w:right="0" w:firstLine="0"/>
        <w:jc w:val="left"/>
        <w:outlineLvl w:val="2"/>
        <w:rPr>
          <w:rFonts w:ascii="宋体" w:hAnsi="宋体"/>
          <w:b/>
        </w:rPr>
      </w:pPr>
      <w:r>
        <w:rPr>
          <w:rFonts w:ascii="宋体" w:hAnsi="宋体"/>
          <w:b/>
        </w:rPr>
        <w:t>法定代表人授权书格式</w:t>
      </w: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w:t>
      </w:r>
      <w:r>
        <w:rPr>
          <w:rFonts w:hint="eastAsia" w:ascii="宋体" w:hAnsi="宋体"/>
        </w:rPr>
        <w:t>南宁轨道交通运营有限公司</w:t>
      </w:r>
    </w:p>
    <w:p>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为本公司的合法代理人，就项目编号为的项目的服务的比选申请和合同执行，作为比选申请人代表以本公司的名义处理一切与之有关的事宜。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本授权书于年月日签字生效，特此声明。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rPr>
          <w:rFonts w:ascii="宋体" w:hAnsi="宋体"/>
          <w:b/>
        </w:rPr>
      </w:pPr>
    </w:p>
    <w:p>
      <w:pPr>
        <w:spacing w:before="120"/>
        <w:ind w:right="-27" w:hanging="709"/>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rPr>
          <w:rFonts w:ascii="宋体" w:hAnsi="宋体"/>
          <w:b/>
        </w:rPr>
      </w:pPr>
      <w:r>
        <w:rPr>
          <w:rFonts w:ascii="宋体" w:hAnsi="宋体"/>
          <w:b/>
        </w:rPr>
        <w:br w:type="page"/>
      </w:r>
    </w:p>
    <w:p>
      <w:pPr>
        <w:numPr>
          <w:ilvl w:val="1"/>
          <w:numId w:val="7"/>
        </w:numPr>
        <w:snapToGrid w:val="0"/>
        <w:spacing w:before="0" w:line="240" w:lineRule="auto"/>
        <w:ind w:right="0" w:firstLine="0"/>
        <w:jc w:val="left"/>
        <w:outlineLvl w:val="2"/>
        <w:rPr>
          <w:rFonts w:ascii="宋体" w:hAnsi="宋体"/>
          <w:b/>
        </w:rPr>
      </w:pPr>
      <w:r>
        <w:rPr>
          <w:rFonts w:ascii="宋体" w:hAnsi="宋体"/>
          <w:b/>
        </w:rPr>
        <w:t>法定代表人资格证明书格式</w:t>
      </w:r>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b/>
        </w:rPr>
      </w:pPr>
    </w:p>
    <w:p>
      <w:pPr>
        <w:rPr>
          <w:rFonts w:ascii="宋体" w:hAnsi="宋体"/>
          <w:b/>
        </w:rPr>
      </w:pPr>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2"/>
        <w:rPr>
          <w:rFonts w:ascii="宋体" w:hAnsi="宋体"/>
          <w:b/>
        </w:rPr>
      </w:pPr>
      <w:r>
        <w:rPr>
          <w:rFonts w:hint="eastAsia" w:ascii="宋体" w:hAnsi="宋体"/>
          <w:b/>
        </w:rPr>
        <w:t xml:space="preserve">A3 </w:t>
      </w:r>
      <w:r>
        <w:rPr>
          <w:rFonts w:ascii="宋体" w:hAnsi="宋体"/>
          <w:b/>
        </w:rPr>
        <w:t>承诺书格式</w:t>
      </w:r>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rPr>
      </w:pPr>
      <w:r>
        <w:rPr>
          <w:rFonts w:ascii="宋体" w:hAnsi="宋体"/>
        </w:rPr>
        <w:t>致：</w:t>
      </w:r>
      <w:r>
        <w:rPr>
          <w:rFonts w:hint="eastAsia" w:ascii="宋体" w:hAnsi="宋体"/>
          <w:u w:val="single"/>
        </w:rPr>
        <w:t>南宁轨道交通运营有限公司</w:t>
      </w:r>
    </w:p>
    <w:p>
      <w:pPr>
        <w:spacing w:before="0" w:after="0" w:afterAutospacing="0"/>
        <w:ind w:left="0" w:right="0" w:firstLine="420" w:firstLineChars="200"/>
        <w:jc w:val="left"/>
        <w:rPr>
          <w:rFonts w:ascii="宋体" w:hAnsi="宋体"/>
        </w:rPr>
      </w:pPr>
      <w:r>
        <w:rPr>
          <w:rFonts w:ascii="宋体" w:hAnsi="宋体"/>
        </w:rPr>
        <w:t>1、在认真研读</w:t>
      </w:r>
      <w:r>
        <w:rPr>
          <w:rFonts w:hint="eastAsia" w:ascii="宋体" w:hAnsi="宋体"/>
        </w:rPr>
        <w:t>南宁轨道交通运营有限公司的</w:t>
      </w:r>
      <w:r>
        <w:rPr>
          <w:rFonts w:hint="eastAsia" w:ascii="宋体" w:hAnsi="宋体"/>
          <w:lang w:eastAsia="zh-CN"/>
        </w:rPr>
        <w:t>南宁轨道交通2号线电客车转向架橡胶件委外检测项目（2022年-2023年）（重2）</w:t>
      </w:r>
      <w:r>
        <w:rPr>
          <w:rFonts w:hint="eastAsia" w:ascii="宋体" w:hAnsi="宋体"/>
        </w:rPr>
        <w:t>比选文件</w:t>
      </w:r>
      <w:r>
        <w:rPr>
          <w:rFonts w:ascii="宋体" w:hAnsi="宋体"/>
        </w:rPr>
        <w:t>后，我方经慎重考虑，郑重承诺参加</w:t>
      </w:r>
      <w:r>
        <w:rPr>
          <w:rFonts w:hint="eastAsia" w:ascii="宋体" w:hAnsi="宋体"/>
          <w:lang w:val="en-US" w:eastAsia="zh-CN"/>
        </w:rPr>
        <w:t>本</w:t>
      </w:r>
      <w:r>
        <w:rPr>
          <w:rFonts w:hint="eastAsia" w:ascii="宋体" w:hAnsi="宋体"/>
        </w:rPr>
        <w:t>项目的比选申请</w:t>
      </w:r>
      <w:r>
        <w:rPr>
          <w:rFonts w:ascii="宋体" w:hAnsi="宋体"/>
        </w:rPr>
        <w:t>活动。</w:t>
      </w:r>
    </w:p>
    <w:p>
      <w:pPr>
        <w:spacing w:before="0" w:after="0" w:afterAutospacing="0"/>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bCs/>
        </w:rPr>
      </w:pPr>
      <w:r>
        <w:rPr>
          <w:rFonts w:ascii="宋体" w:hAnsi="宋体"/>
        </w:rPr>
        <w:t>4、我方郑重承诺：</w:t>
      </w:r>
      <w:r>
        <w:rPr>
          <w:rFonts w:ascii="宋体" w:hAnsi="宋体"/>
          <w:b/>
          <w:bCs/>
        </w:rPr>
        <w:t>我方保证没有处于被责令停业，或比选申请资格没有被住建部或应急管理部（原国家安监总局）或广西区或南宁市建设行政主管部门取消；财产没有处于被接管、破产状态；在比选申请截止时间前3年内没有骗取中选或严重违约或重大质量安全责任事故。我方与其他比选申请人之间不存在单位负责人为同一人或者控股、管理关系的情况；我方未列入比选人不良信用名单。</w:t>
      </w:r>
    </w:p>
    <w:p>
      <w:pPr>
        <w:spacing w:before="0" w:after="0" w:afterAutospacing="0"/>
        <w:ind w:left="0" w:right="0"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w:t>
      </w:r>
      <w:r>
        <w:rPr>
          <w:rFonts w:hint="eastAsia" w:ascii="宋体" w:hAnsi="宋体"/>
        </w:rPr>
        <w:t>比选人</w:t>
      </w:r>
      <w:r>
        <w:rPr>
          <w:rFonts w:ascii="宋体" w:hAnsi="宋体"/>
        </w:rPr>
        <w:t>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视为我公司违约，我公司愿意接受比选人</w:t>
      </w:r>
      <w:r>
        <w:rPr>
          <w:rFonts w:ascii="宋体" w:hAnsi="宋体"/>
        </w:rPr>
        <w:t>或有管辖权的监管机构的处罚；如果我公司已</w:t>
      </w:r>
      <w:r>
        <w:rPr>
          <w:rFonts w:hint="eastAsia" w:ascii="宋体" w:hAnsi="宋体"/>
        </w:rPr>
        <w:t>与比选人签订合同，则视为我公司违约</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360" w:lineRule="auto"/>
        <w:ind w:left="0" w:right="0" w:firstLine="420" w:firstLineChars="200"/>
        <w:rPr>
          <w:rFonts w:ascii="宋体" w:hAnsi="宋体"/>
          <w:u w:val="none"/>
        </w:rPr>
      </w:pPr>
      <w:r>
        <w:rPr>
          <w:rFonts w:hint="eastAsia" w:ascii="宋体" w:hAnsi="宋体"/>
        </w:rPr>
        <w:t>比选申请人</w:t>
      </w:r>
      <w:r>
        <w:rPr>
          <w:rFonts w:ascii="宋体" w:hAnsi="宋体"/>
        </w:rPr>
        <w:t>地址：</w:t>
      </w:r>
    </w:p>
    <w:p>
      <w:pPr>
        <w:spacing w:before="0" w:after="0" w:afterAutospacing="0" w:line="360" w:lineRule="auto"/>
        <w:ind w:left="0" w:right="0" w:firstLine="420" w:firstLineChars="200"/>
        <w:rPr>
          <w:rFonts w:ascii="宋体" w:hAnsi="宋体"/>
        </w:rPr>
      </w:pPr>
      <w:r>
        <w:rPr>
          <w:rFonts w:hint="eastAsia" w:ascii="宋体" w:hAnsi="宋体"/>
        </w:rPr>
        <w:t>比选申请人</w:t>
      </w:r>
      <w:r>
        <w:rPr>
          <w:rFonts w:ascii="宋体" w:hAnsi="宋体"/>
          <w:u w:val="none"/>
        </w:rPr>
        <w:t xml:space="preserve">    (</w:t>
      </w:r>
      <w:r>
        <w:rPr>
          <w:rFonts w:hint="eastAsia" w:ascii="宋体" w:hAnsi="宋体"/>
          <w:u w:val="none"/>
        </w:rPr>
        <w:t>盖单位公章</w:t>
      </w:r>
      <w:r>
        <w:rPr>
          <w:rFonts w:ascii="宋体" w:hAnsi="宋体"/>
          <w:u w:val="none"/>
        </w:rPr>
        <w:t>)</w:t>
      </w:r>
    </w:p>
    <w:p>
      <w:pPr>
        <w:spacing w:before="0" w:after="0" w:afterAutospacing="0" w:line="360" w:lineRule="auto"/>
        <w:ind w:left="0" w:right="0" w:firstLine="420" w:firstLineChars="200"/>
        <w:rPr>
          <w:rFonts w:ascii="宋体" w:hAnsi="宋体"/>
          <w:u w:val="none"/>
        </w:rPr>
      </w:pPr>
      <w:r>
        <w:rPr>
          <w:rFonts w:ascii="宋体" w:hAnsi="宋体"/>
        </w:rPr>
        <w:t>邮政编码：</w:t>
      </w:r>
    </w:p>
    <w:p>
      <w:pPr>
        <w:spacing w:before="0" w:after="0" w:afterAutospacing="0" w:line="360" w:lineRule="auto"/>
        <w:ind w:left="0" w:right="0" w:firstLine="420" w:firstLineChars="200"/>
        <w:rPr>
          <w:rFonts w:ascii="宋体" w:hAnsi="宋体"/>
          <w:u w:val="none"/>
        </w:rPr>
      </w:pPr>
      <w:r>
        <w:rPr>
          <w:rFonts w:hint="eastAsia" w:ascii="宋体" w:hAnsi="宋体"/>
        </w:rPr>
        <w:t>法定代表人（或委托代理人）：</w:t>
      </w:r>
      <w:r>
        <w:rPr>
          <w:rFonts w:ascii="宋体" w:hAnsi="宋体"/>
          <w:u w:val="none"/>
        </w:rPr>
        <w:t>(签字</w:t>
      </w:r>
      <w:r>
        <w:rPr>
          <w:rFonts w:hint="eastAsia" w:ascii="宋体" w:hAnsi="宋体"/>
          <w:u w:val="none"/>
        </w:rPr>
        <w:t>或盖章</w:t>
      </w:r>
      <w:r>
        <w:rPr>
          <w:rFonts w:ascii="宋体" w:hAnsi="宋体"/>
          <w:u w:val="none"/>
        </w:rPr>
        <w:t>)</w:t>
      </w:r>
    </w:p>
    <w:p>
      <w:pPr>
        <w:spacing w:before="0" w:after="0" w:afterAutospacing="0" w:line="360" w:lineRule="auto"/>
        <w:ind w:left="0" w:right="0" w:firstLine="420" w:firstLineChars="200"/>
        <w:rPr>
          <w:rFonts w:ascii="宋体" w:hAnsi="宋体"/>
          <w:u w:val="none"/>
        </w:rPr>
      </w:pPr>
      <w:r>
        <w:rPr>
          <w:rFonts w:ascii="宋体" w:hAnsi="宋体"/>
        </w:rPr>
        <w:t>电话：</w:t>
      </w:r>
    </w:p>
    <w:p>
      <w:pPr>
        <w:spacing w:before="0" w:after="0" w:afterAutospacing="0" w:line="360" w:lineRule="auto"/>
        <w:ind w:left="0" w:right="0" w:firstLine="420" w:firstLineChars="200"/>
        <w:rPr>
          <w:rFonts w:ascii="宋体" w:hAnsi="宋体"/>
          <w:u w:val="none"/>
        </w:rPr>
      </w:pPr>
      <w:r>
        <w:rPr>
          <w:rFonts w:ascii="宋体" w:hAnsi="宋体"/>
        </w:rPr>
        <w:t>传真：</w:t>
      </w:r>
    </w:p>
    <w:p>
      <w:pPr>
        <w:spacing w:before="0" w:after="0" w:afterAutospacing="0" w:line="360" w:lineRule="auto"/>
        <w:ind w:left="0" w:right="0" w:firstLine="420" w:firstLineChars="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napToGrid/>
        <w:spacing w:before="0" w:after="0" w:afterAutospacing="0" w:line="240" w:lineRule="auto"/>
        <w:ind w:left="0" w:right="0" w:firstLine="0"/>
        <w:jc w:val="both"/>
        <w:outlineLvl w:val="9"/>
        <w:rPr>
          <w:rFonts w:ascii="宋体" w:hAnsi="宋体"/>
          <w:b/>
        </w:rPr>
      </w:pPr>
      <w:r>
        <w:rPr>
          <w:rFonts w:ascii="宋体" w:hAnsi="宋体"/>
        </w:rPr>
        <w:br w:type="page"/>
      </w:r>
      <w:bookmarkStart w:id="1255" w:name="_Toc25750678"/>
      <w:bookmarkStart w:id="1256" w:name="_Toc15053"/>
      <w:bookmarkStart w:id="1257" w:name="_Toc27344"/>
      <w:bookmarkStart w:id="1258" w:name="_Toc11019"/>
      <w:bookmarkStart w:id="1259" w:name="_Toc5040"/>
      <w:bookmarkStart w:id="1260" w:name="_Toc8863"/>
      <w:r>
        <w:rPr>
          <w:rFonts w:hint="eastAsia" w:ascii="宋体" w:hAnsi="宋体"/>
          <w:b/>
        </w:rPr>
        <w:t>A4  类似项目业绩表格式</w:t>
      </w:r>
      <w:bookmarkEnd w:id="1255"/>
    </w:p>
    <w:p>
      <w:pPr>
        <w:spacing w:before="0"/>
        <w:ind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28"/>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rPr>
                <w:rFonts w:ascii="宋体" w:hAnsi="宋体"/>
              </w:rPr>
            </w:pPr>
            <w:r>
              <w:rPr>
                <w:rFonts w:hint="eastAsia" w:ascii="宋体" w:hAnsi="宋体"/>
              </w:rPr>
              <w:t>项目名称</w:t>
            </w:r>
          </w:p>
        </w:tc>
        <w:tc>
          <w:tcPr>
            <w:tcW w:w="1789" w:type="dxa"/>
            <w:tcBorders>
              <w:top w:val="double" w:color="auto" w:sz="4" w:space="0"/>
            </w:tcBorders>
            <w:vAlign w:val="center"/>
          </w:tcPr>
          <w:p>
            <w:pPr>
              <w:ind w:left="0" w:firstLine="0"/>
              <w:rPr>
                <w:rFonts w:ascii="宋体" w:hAnsi="宋体"/>
              </w:rPr>
            </w:pPr>
            <w:r>
              <w:rPr>
                <w:rFonts w:hint="eastAsia" w:ascii="宋体" w:hAnsi="宋体"/>
              </w:rPr>
              <w:t>合同内容（简述）</w:t>
            </w:r>
          </w:p>
        </w:tc>
        <w:tc>
          <w:tcPr>
            <w:tcW w:w="992" w:type="dxa"/>
            <w:tcBorders>
              <w:top w:val="double" w:color="auto" w:sz="4" w:space="0"/>
            </w:tcBorders>
            <w:vAlign w:val="center"/>
          </w:tcPr>
          <w:p>
            <w:pPr>
              <w:ind w:left="0" w:firstLine="0"/>
              <w:jc w:val="center"/>
              <w:rPr>
                <w:rFonts w:ascii="宋体" w:hAnsi="宋体"/>
              </w:rPr>
            </w:pPr>
            <w:r>
              <w:rPr>
                <w:rFonts w:hint="eastAsia" w:ascii="宋体" w:hAnsi="宋体"/>
              </w:rPr>
              <w:t>合同</w:t>
            </w:r>
            <w:r>
              <w:rPr>
                <w:rFonts w:ascii="宋体" w:hAnsi="宋体"/>
              </w:rPr>
              <w:br w:type="textWrapping"/>
            </w:r>
            <w:r>
              <w:rPr>
                <w:rFonts w:hint="eastAsia" w:ascii="宋体" w:hAnsi="宋体"/>
              </w:rPr>
              <w:t>金额</w:t>
            </w:r>
          </w:p>
        </w:tc>
        <w:tc>
          <w:tcPr>
            <w:tcW w:w="993" w:type="dxa"/>
            <w:tcBorders>
              <w:top w:val="double" w:color="auto" w:sz="4" w:space="0"/>
            </w:tcBorders>
            <w:vAlign w:val="center"/>
          </w:tcPr>
          <w:p>
            <w:pPr>
              <w:ind w:left="0" w:firstLine="0"/>
              <w:jc w:val="center"/>
              <w:rPr>
                <w:rFonts w:ascii="宋体" w:hAnsi="宋体"/>
              </w:rPr>
            </w:pPr>
            <w:r>
              <w:rPr>
                <w:rFonts w:hint="eastAsia" w:ascii="宋体" w:hAnsi="宋体"/>
              </w:rPr>
              <w:t>签订</w:t>
            </w:r>
            <w:r>
              <w:rPr>
                <w:rFonts w:ascii="宋体" w:hAnsi="宋体"/>
              </w:rPr>
              <w:br w:type="textWrapping"/>
            </w:r>
            <w:r>
              <w:rPr>
                <w:rFonts w:hint="eastAsia" w:ascii="宋体" w:hAnsi="宋体"/>
              </w:rPr>
              <w:t>时间</w:t>
            </w:r>
          </w:p>
        </w:tc>
        <w:tc>
          <w:tcPr>
            <w:tcW w:w="1388" w:type="dxa"/>
            <w:tcBorders>
              <w:top w:val="double" w:color="auto" w:sz="4" w:space="0"/>
            </w:tcBorders>
            <w:vAlign w:val="center"/>
          </w:tcPr>
          <w:p>
            <w:pPr>
              <w:ind w:left="0" w:firstLine="0"/>
              <w:jc w:val="center"/>
              <w:rPr>
                <w:rFonts w:ascii="宋体" w:hAnsi="宋体"/>
              </w:rPr>
            </w:pPr>
            <w:r>
              <w:rPr>
                <w:rFonts w:hint="eastAsia" w:ascii="宋体" w:hAnsi="宋体"/>
              </w:rPr>
              <w:t>供货、</w:t>
            </w:r>
            <w:r>
              <w:rPr>
                <w:rFonts w:hint="eastAsia"/>
              </w:rPr>
              <w:t>工期或服务</w:t>
            </w:r>
            <w:r>
              <w:rPr>
                <w:rFonts w:hint="eastAsia" w:ascii="宋体" w:hAnsi="宋体"/>
              </w:rPr>
              <w:t>时间</w:t>
            </w:r>
          </w:p>
        </w:tc>
        <w:tc>
          <w:tcPr>
            <w:tcW w:w="1044" w:type="dxa"/>
            <w:tcBorders>
              <w:top w:val="double" w:color="auto" w:sz="4" w:space="0"/>
            </w:tcBorders>
            <w:vAlign w:val="center"/>
          </w:tcPr>
          <w:p>
            <w:pPr>
              <w:ind w:left="0" w:firstLine="0"/>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789" w:type="dxa"/>
          </w:tcPr>
          <w:p>
            <w:pPr>
              <w:ind w:left="0" w:firstLine="0"/>
              <w:rPr>
                <w:rFonts w:ascii="宋体" w:hAnsi="宋体"/>
              </w:rPr>
            </w:pPr>
          </w:p>
        </w:tc>
        <w:tc>
          <w:tcPr>
            <w:tcW w:w="992" w:type="dxa"/>
          </w:tcPr>
          <w:p>
            <w:pPr>
              <w:ind w:left="0" w:firstLine="0"/>
              <w:rPr>
                <w:rFonts w:ascii="宋体" w:hAnsi="宋体"/>
              </w:rPr>
            </w:pPr>
          </w:p>
        </w:tc>
        <w:tc>
          <w:tcPr>
            <w:tcW w:w="993" w:type="dxa"/>
          </w:tcPr>
          <w:p>
            <w:pPr>
              <w:ind w:left="0" w:firstLine="0"/>
              <w:rPr>
                <w:rFonts w:ascii="宋体" w:hAnsi="宋体"/>
              </w:rPr>
            </w:pPr>
          </w:p>
        </w:tc>
        <w:tc>
          <w:tcPr>
            <w:tcW w:w="1388"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after="0" w:afterAutospacing="0"/>
        <w:ind w:left="0" w:right="0" w:firstLine="0"/>
        <w:rPr>
          <w:rFonts w:ascii="宋体" w:hAnsi="宋体"/>
        </w:rPr>
      </w:pPr>
      <w:r>
        <w:rPr>
          <w:rFonts w:ascii="宋体" w:hAnsi="宋体"/>
        </w:rPr>
        <w:t>注：1.</w:t>
      </w:r>
      <w:r>
        <w:rPr>
          <w:rFonts w:hint="eastAsia" w:ascii="宋体" w:hAnsi="宋体"/>
        </w:rPr>
        <w:t>类似项目业绩：比选申请人</w:t>
      </w:r>
      <w:r>
        <w:rPr>
          <w:rFonts w:hint="eastAsia"/>
        </w:rPr>
        <w:t>自201</w:t>
      </w:r>
      <w:r>
        <w:rPr>
          <w:rFonts w:hint="eastAsia"/>
          <w:lang w:val="en-US" w:eastAsia="zh-CN"/>
        </w:rPr>
        <w:t>8</w:t>
      </w:r>
      <w:r>
        <w:rPr>
          <w:rFonts w:hint="eastAsia"/>
        </w:rPr>
        <w:t>年1月1日（备注：近</w:t>
      </w:r>
      <w:r>
        <w:rPr>
          <w:rFonts w:hint="eastAsia"/>
          <w:lang w:val="en-US" w:eastAsia="zh-CN"/>
        </w:rPr>
        <w:t>5</w:t>
      </w:r>
      <w:r>
        <w:rPr>
          <w:rFonts w:hint="eastAsia"/>
        </w:rPr>
        <w:t>年）至截标时间</w:t>
      </w:r>
      <w:r>
        <w:rPr>
          <w:rFonts w:hint="eastAsia" w:ascii="宋体" w:hAnsi="宋体"/>
        </w:rPr>
        <w:t>至少拥有</w:t>
      </w:r>
      <w:r>
        <w:rPr>
          <w:rFonts w:hint="eastAsia" w:ascii="宋体" w:hAnsi="宋体"/>
          <w:lang w:val="en-US" w:eastAsia="zh-CN"/>
        </w:rPr>
        <w:t>1</w:t>
      </w:r>
      <w:r>
        <w:rPr>
          <w:rFonts w:hint="eastAsia" w:ascii="宋体" w:hAnsi="宋体"/>
        </w:rPr>
        <w:t>项铁路或地铁车辆部件橡胶件检测业绩。</w:t>
      </w:r>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合同或业主（采购方）证明，合同或业主证明文件中须体现出合同双方、合同签订时间、合同服务、检测部件等内容，否则视为无效证明文件，复印件加盖比选申请人公章，不接受分包或转包的合同业绩。</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5"/>
        <w:spacing w:after="100"/>
        <w:ind w:right="-57" w:firstLine="0"/>
        <w:jc w:val="both"/>
        <w:rPr>
          <w:sz w:val="24"/>
          <w:szCs w:val="24"/>
        </w:rPr>
      </w:pPr>
    </w:p>
    <w:p>
      <w:pPr>
        <w:spacing w:after="100"/>
        <w:ind w:right="-57" w:firstLine="0"/>
        <w:jc w:val="center"/>
        <w:rPr>
          <w:rFonts w:hint="eastAsia"/>
          <w:sz w:val="24"/>
          <w:szCs w:val="24"/>
        </w:rPr>
      </w:pPr>
    </w:p>
    <w:p>
      <w:pPr>
        <w:pStyle w:val="5"/>
        <w:spacing w:after="100"/>
        <w:ind w:right="-57" w:firstLine="0"/>
        <w:jc w:val="center"/>
        <w:rPr>
          <w:sz w:val="24"/>
          <w:szCs w:val="24"/>
        </w:rPr>
      </w:pPr>
      <w:bookmarkStart w:id="1261" w:name="_Toc28079"/>
      <w:r>
        <w:rPr>
          <w:rFonts w:hint="eastAsia"/>
          <w:sz w:val="24"/>
          <w:szCs w:val="24"/>
        </w:rPr>
        <w:t>B 价格文件</w:t>
      </w:r>
      <w:bookmarkEnd w:id="1256"/>
      <w:bookmarkEnd w:id="1257"/>
      <w:bookmarkEnd w:id="1258"/>
      <w:bookmarkEnd w:id="1259"/>
      <w:bookmarkEnd w:id="1260"/>
      <w:bookmarkEnd w:id="1261"/>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pPr>
      <w:r>
        <w:rPr>
          <w:rFonts w:hint="eastAsia"/>
        </w:rPr>
        <w:t>（</w:t>
      </w:r>
      <w:r>
        <w:t>3</w:t>
      </w:r>
      <w:r>
        <w:rPr>
          <w:rFonts w:hint="eastAsia"/>
        </w:rPr>
        <w:t>）比选申请报价表（格式见B3）；</w:t>
      </w:r>
    </w:p>
    <w:p>
      <w:pPr>
        <w:spacing w:before="0" w:after="0" w:afterAutospacing="0"/>
        <w:ind w:left="0" w:right="0" w:firstLine="420" w:firstLineChars="200"/>
        <w:rPr>
          <w:rFonts w:ascii="宋体" w:hAnsi="宋体" w:cs="Arial"/>
        </w:rPr>
      </w:pPr>
      <w:r>
        <w:rPr>
          <w:rFonts w:hint="eastAsia"/>
        </w:rPr>
        <w:t>（4）比选申请人认为应提交的其他比选申请资料（如有）。</w:t>
      </w:r>
    </w:p>
    <w:p>
      <w:pPr>
        <w:pStyle w:val="6"/>
        <w:tabs>
          <w:tab w:val="left" w:pos="567"/>
          <w:tab w:val="left" w:pos="720"/>
        </w:tabs>
        <w:snapToGrid w:val="0"/>
        <w:ind w:right="-57" w:firstLine="0"/>
        <w:jc w:val="left"/>
        <w:rPr>
          <w:rFonts w:ascii="宋体" w:hAnsi="宋体"/>
          <w:sz w:val="21"/>
          <w:szCs w:val="21"/>
        </w:rPr>
      </w:pPr>
      <w:r>
        <w:rPr>
          <w:rFonts w:ascii="宋体" w:hAnsi="宋体"/>
        </w:rPr>
        <w:br w:type="page"/>
      </w:r>
      <w:r>
        <w:rPr>
          <w:rFonts w:ascii="宋体" w:hAnsi="宋体"/>
          <w:sz w:val="21"/>
          <w:szCs w:val="21"/>
        </w:rPr>
        <w:t>B1比选申请报价一览表</w:t>
      </w:r>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kern w:val="2"/>
          <w:u w:val="single"/>
        </w:rPr>
      </w:pPr>
      <w:r>
        <w:rPr>
          <w:rFonts w:hint="eastAsia" w:ascii="宋体" w:hAnsi="宋体"/>
          <w:kern w:val="2"/>
        </w:rPr>
        <w:t>项目名称：</w:t>
      </w:r>
    </w:p>
    <w:p>
      <w:pPr>
        <w:widowControl w:val="0"/>
        <w:snapToGrid w:val="0"/>
        <w:spacing w:before="0" w:after="0" w:afterAutospacing="0"/>
        <w:ind w:left="0" w:right="-57" w:rightChars="-27" w:firstLine="0"/>
        <w:rPr>
          <w:rFonts w:ascii="宋体" w:hAnsi="宋体"/>
          <w:kern w:val="2"/>
        </w:rPr>
      </w:pPr>
      <w:r>
        <w:rPr>
          <w:rFonts w:hint="eastAsia" w:ascii="宋体" w:hAnsi="宋体"/>
          <w:kern w:val="2"/>
        </w:rPr>
        <w:t>项目编号：</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8"/>
        <w:tblW w:w="82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7"/>
        <w:gridCol w:w="2010"/>
        <w:gridCol w:w="2708"/>
        <w:gridCol w:w="1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707" w:type="dxa"/>
            <w:vMerge w:val="restart"/>
            <w:vAlign w:val="center"/>
          </w:tcPr>
          <w:p>
            <w:pPr>
              <w:snapToGrid w:val="0"/>
              <w:spacing w:after="50" w:line="300" w:lineRule="exact"/>
              <w:ind w:right="-57"/>
              <w:jc w:val="center"/>
              <w:rPr>
                <w:rFonts w:ascii="宋体" w:hAnsi="宋体"/>
                <w:b/>
                <w:sz w:val="24"/>
              </w:rPr>
            </w:pPr>
            <w:r>
              <w:rPr>
                <w:rFonts w:hint="eastAsia" w:ascii="宋体" w:hAnsi="宋体"/>
                <w:b/>
                <w:bCs/>
                <w:sz w:val="24"/>
              </w:rPr>
              <w:t>比选申请报价</w:t>
            </w:r>
          </w:p>
        </w:tc>
        <w:tc>
          <w:tcPr>
            <w:tcW w:w="2010" w:type="dxa"/>
            <w:vMerge w:val="restart"/>
            <w:vAlign w:val="center"/>
          </w:tcPr>
          <w:p>
            <w:pPr>
              <w:snapToGrid w:val="0"/>
              <w:spacing w:after="50" w:line="300" w:lineRule="exact"/>
              <w:ind w:right="-57"/>
              <w:jc w:val="center"/>
              <w:rPr>
                <w:rFonts w:ascii="宋体" w:hAnsi="宋体"/>
                <w:b/>
                <w:sz w:val="24"/>
              </w:rPr>
            </w:pPr>
            <w:r>
              <w:rPr>
                <w:rFonts w:hint="eastAsia" w:ascii="宋体" w:hAnsi="宋体"/>
                <w:b/>
                <w:sz w:val="24"/>
              </w:rPr>
              <w:t>不含增值税价格</w:t>
            </w:r>
          </w:p>
        </w:tc>
        <w:tc>
          <w:tcPr>
            <w:tcW w:w="2708" w:type="dxa"/>
            <w:vMerge w:val="restart"/>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r>
              <w:rPr>
                <w:rFonts w:hint="eastAsia" w:ascii="宋体" w:hAnsi="宋体"/>
                <w:b/>
                <w:sz w:val="24"/>
                <w:u w:val="single"/>
              </w:rPr>
              <w:t xml:space="preserve">        </w:t>
            </w:r>
          </w:p>
          <w:p>
            <w:pPr>
              <w:snapToGrid w:val="0"/>
              <w:spacing w:after="50" w:line="300" w:lineRule="exact"/>
              <w:ind w:right="-57"/>
              <w:jc w:val="left"/>
              <w:rPr>
                <w:rFonts w:ascii="宋体" w:hAnsi="宋体"/>
                <w:b/>
                <w:sz w:val="24"/>
                <w:u w:val="single"/>
              </w:rPr>
            </w:pPr>
            <w:r>
              <w:rPr>
                <w:rFonts w:hint="eastAsia" w:ascii="宋体" w:hAnsi="宋体"/>
                <w:b/>
                <w:sz w:val="24"/>
              </w:rPr>
              <w:t>大写：</w:t>
            </w:r>
            <w:r>
              <w:rPr>
                <w:rFonts w:hint="eastAsia" w:ascii="宋体" w:hAnsi="宋体"/>
                <w:b/>
                <w:sz w:val="24"/>
                <w:u w:val="single"/>
              </w:rPr>
              <w:t xml:space="preserve">        </w:t>
            </w:r>
          </w:p>
        </w:tc>
        <w:tc>
          <w:tcPr>
            <w:tcW w:w="1850" w:type="dxa"/>
          </w:tcPr>
          <w:p>
            <w:pPr>
              <w:snapToGrid w:val="0"/>
              <w:spacing w:after="50" w:line="300" w:lineRule="exact"/>
              <w:ind w:right="-57"/>
              <w:jc w:val="center"/>
              <w:rPr>
                <w:rFonts w:ascii="宋体" w:hAnsi="宋体"/>
                <w:b/>
                <w:sz w:val="24"/>
              </w:rPr>
            </w:pPr>
            <w:r>
              <w:rPr>
                <w:rFonts w:hint="eastAsia" w:ascii="宋体" w:hAnsi="宋体"/>
                <w:b/>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5" w:hRule="atLeast"/>
          <w:jc w:val="center"/>
        </w:trPr>
        <w:tc>
          <w:tcPr>
            <w:tcW w:w="1707" w:type="dxa"/>
            <w:vMerge w:val="continue"/>
          </w:tcPr>
          <w:p>
            <w:pPr>
              <w:snapToGrid w:val="0"/>
              <w:spacing w:after="50" w:line="300" w:lineRule="exact"/>
              <w:ind w:right="-57"/>
              <w:jc w:val="center"/>
              <w:rPr>
                <w:rFonts w:ascii="宋体" w:hAnsi="宋体"/>
                <w:b/>
                <w:sz w:val="24"/>
              </w:rPr>
            </w:pPr>
          </w:p>
        </w:tc>
        <w:tc>
          <w:tcPr>
            <w:tcW w:w="2010" w:type="dxa"/>
            <w:vMerge w:val="continue"/>
          </w:tcPr>
          <w:p>
            <w:pPr>
              <w:snapToGrid w:val="0"/>
              <w:spacing w:after="50" w:line="300" w:lineRule="exact"/>
              <w:ind w:right="-57"/>
              <w:jc w:val="center"/>
              <w:rPr>
                <w:rFonts w:ascii="宋体" w:hAnsi="宋体"/>
                <w:b/>
                <w:sz w:val="24"/>
              </w:rPr>
            </w:pPr>
          </w:p>
        </w:tc>
        <w:tc>
          <w:tcPr>
            <w:tcW w:w="2708" w:type="dxa"/>
            <w:vMerge w:val="continue"/>
          </w:tcPr>
          <w:p>
            <w:pPr>
              <w:snapToGrid w:val="0"/>
              <w:spacing w:after="50" w:line="300" w:lineRule="exact"/>
              <w:ind w:right="-57"/>
              <w:jc w:val="center"/>
              <w:rPr>
                <w:rFonts w:ascii="宋体" w:hAnsi="宋体"/>
                <w:b/>
                <w:sz w:val="24"/>
              </w:rPr>
            </w:pPr>
          </w:p>
        </w:tc>
        <w:tc>
          <w:tcPr>
            <w:tcW w:w="1850" w:type="dxa"/>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1707" w:type="dxa"/>
            <w:vAlign w:val="center"/>
          </w:tcPr>
          <w:p>
            <w:pPr>
              <w:snapToGrid w:val="0"/>
              <w:spacing w:after="50" w:line="300" w:lineRule="exact"/>
              <w:ind w:right="-57"/>
              <w:jc w:val="center"/>
              <w:rPr>
                <w:rFonts w:ascii="宋体" w:hAnsi="宋体"/>
                <w:b/>
                <w:sz w:val="24"/>
              </w:rPr>
            </w:pPr>
            <w:r>
              <w:rPr>
                <w:rFonts w:hint="eastAsia" w:ascii="宋体" w:hAnsi="宋体"/>
                <w:b/>
                <w:sz w:val="24"/>
              </w:rPr>
              <w:t>税率</w:t>
            </w:r>
          </w:p>
        </w:tc>
        <w:tc>
          <w:tcPr>
            <w:tcW w:w="6568" w:type="dxa"/>
            <w:gridSpan w:val="3"/>
            <w:vAlign w:val="center"/>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1707" w:type="dxa"/>
            <w:vAlign w:val="center"/>
          </w:tcPr>
          <w:p>
            <w:pPr>
              <w:snapToGrid w:val="0"/>
              <w:spacing w:after="50" w:line="300" w:lineRule="exact"/>
              <w:ind w:right="-57"/>
              <w:jc w:val="center"/>
              <w:rPr>
                <w:rFonts w:ascii="宋体" w:hAnsi="宋体"/>
                <w:b/>
                <w:sz w:val="24"/>
              </w:rPr>
            </w:pPr>
            <w:r>
              <w:rPr>
                <w:rFonts w:hint="eastAsia" w:ascii="宋体" w:hAnsi="宋体"/>
                <w:b/>
                <w:sz w:val="24"/>
              </w:rPr>
              <w:t>工期</w:t>
            </w:r>
          </w:p>
        </w:tc>
        <w:tc>
          <w:tcPr>
            <w:tcW w:w="6568" w:type="dxa"/>
            <w:gridSpan w:val="3"/>
            <w:vAlign w:val="center"/>
          </w:tcPr>
          <w:p>
            <w:pPr>
              <w:snapToGrid w:val="0"/>
              <w:spacing w:after="50" w:line="300" w:lineRule="exact"/>
              <w:ind w:right="-57"/>
              <w:jc w:val="center"/>
              <w:rPr>
                <w:rFonts w:ascii="宋体" w:hAnsi="宋体"/>
                <w:b/>
                <w:sz w:val="24"/>
              </w:rPr>
            </w:pPr>
            <w:r>
              <w:rPr>
                <w:rFonts w:hint="eastAsia" w:ascii="宋体" w:hAnsi="宋体"/>
                <w:b/>
                <w:sz w:val="24"/>
              </w:rPr>
              <w:t>共</w:t>
            </w:r>
            <w:r>
              <w:rPr>
                <w:rFonts w:hint="eastAsia" w:ascii="宋体" w:hAnsi="宋体"/>
                <w:b/>
                <w:sz w:val="24"/>
                <w:u w:val="single"/>
              </w:rPr>
              <w:t xml:space="preserve">   </w:t>
            </w:r>
            <w:r>
              <w:rPr>
                <w:rFonts w:hint="eastAsia" w:ascii="宋体" w:hAnsi="宋体"/>
                <w:b/>
                <w:sz w:val="24"/>
              </w:rPr>
              <w:t>天，具体开工日期以比选人开工令发布时间为准。</w:t>
            </w:r>
          </w:p>
        </w:tc>
      </w:tr>
    </w:tbl>
    <w:p>
      <w:pPr>
        <w:spacing w:before="0" w:after="0" w:afterAutospacing="0"/>
        <w:ind w:left="0" w:right="0" w:firstLine="0"/>
        <w:rPr>
          <w:rFonts w:ascii="宋体" w:hAnsi="宋体"/>
        </w:rPr>
      </w:pPr>
      <w:r>
        <w:rPr>
          <w:rFonts w:hint="eastAsia" w:ascii="宋体" w:hAnsi="宋体"/>
        </w:rPr>
        <w:t>注</w:t>
      </w:r>
      <w:r>
        <w:rPr>
          <w:rFonts w:ascii="宋体" w:hAnsi="宋体"/>
        </w:rPr>
        <w:t>:</w:t>
      </w:r>
      <w:r>
        <w:rPr>
          <w:rFonts w:hint="eastAsia" w:ascii="宋体" w:hAnsi="宋体"/>
        </w:rPr>
        <w:t xml:space="preserve"> 比选申请报价应包括</w:t>
      </w:r>
      <w:r>
        <w:rPr>
          <w:rFonts w:hint="eastAsia"/>
        </w:rPr>
        <w:t>设备费、耗材费、人工费、管理费、运输费、利润、风险</w:t>
      </w:r>
      <w:r>
        <w:rPr>
          <w:rFonts w:hint="eastAsia" w:ascii="宋体" w:hAnsi="宋体"/>
        </w:rPr>
        <w:t>及合同包含的所有风险</w:t>
      </w:r>
      <w:r>
        <w:fldChar w:fldCharType="begin"/>
      </w:r>
      <w:r>
        <w:instrText xml:space="preserve"> HYPERLINK "http://www.so.com/s?q=%E8%B4%A3%E4%BB%BB&amp;ie=utf-8&amp;src=internal_wenda_recommend_textn" \t "https://wenda.so.com/q/_blank" </w:instrText>
      </w:r>
      <w:r>
        <w:fldChar w:fldCharType="separate"/>
      </w:r>
      <w:r>
        <w:rPr>
          <w:rFonts w:hint="eastAsia" w:ascii="宋体" w:hAnsi="宋体"/>
        </w:rPr>
        <w:t>责任</w:t>
      </w:r>
      <w:r>
        <w:rPr>
          <w:rFonts w:hint="eastAsia" w:ascii="宋体" w:hAnsi="宋体"/>
        </w:rPr>
        <w:fldChar w:fldCharType="end"/>
      </w:r>
      <w:r>
        <w:rPr>
          <w:rFonts w:hint="eastAsia" w:ascii="宋体" w:hAnsi="宋体"/>
        </w:rPr>
        <w:t>等履行合同标的全过程产生的所有成本和费用以及比选申请人应承担的不含增值税的费用；未列项目的费用均已包含在内。</w:t>
      </w:r>
      <w:r>
        <w:rPr>
          <w:rFonts w:hint="eastAsia" w:ascii="宋体" w:hAnsi="宋体"/>
          <w:bCs/>
        </w:rPr>
        <w:t>中选后，</w:t>
      </w:r>
      <w:r>
        <w:rPr>
          <w:rFonts w:hint="eastAsia" w:ascii="宋体" w:hAnsi="宋体"/>
          <w:bCs/>
          <w:lang w:eastAsia="zh-CN"/>
        </w:rPr>
        <w:t>比选申请</w:t>
      </w:r>
      <w:r>
        <w:rPr>
          <w:rFonts w:hint="eastAsia" w:ascii="宋体" w:hAnsi="宋体"/>
          <w:bCs/>
        </w:rPr>
        <w:t>报价不予调整。比选申请人在填报</w:t>
      </w:r>
      <w:r>
        <w:rPr>
          <w:rFonts w:hint="eastAsia" w:ascii="宋体" w:hAnsi="宋体"/>
          <w:bCs/>
          <w:lang w:eastAsia="zh-CN"/>
        </w:rPr>
        <w:t>比选申请</w:t>
      </w:r>
      <w:r>
        <w:rPr>
          <w:rFonts w:hint="eastAsia" w:ascii="宋体" w:hAnsi="宋体"/>
          <w:bCs/>
        </w:rPr>
        <w:t>报价时，应充分考虑合同实施过程中因人力成本的增加、材料的价格上涨、国家宏观调控、经济环境变化等因素所产生费用的增加</w:t>
      </w:r>
      <w:r>
        <w:rPr>
          <w:rStyle w:val="35"/>
          <w:rFonts w:hint="eastAsia"/>
        </w:rPr>
        <w:t>。</w:t>
      </w:r>
    </w:p>
    <w:p>
      <w:pPr>
        <w:ind w:right="-57" w:firstLine="420"/>
        <w:rPr>
          <w:rFonts w:ascii="宋体" w:hAnsi="宋体"/>
          <w:sz w:val="24"/>
          <w:szCs w:val="24"/>
        </w:rPr>
      </w:pPr>
    </w:p>
    <w:p>
      <w:pPr>
        <w:snapToGrid w:val="0"/>
        <w:spacing w:after="50" w:line="280" w:lineRule="exact"/>
        <w:ind w:left="953" w:right="-817" w:firstLine="1443"/>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法定代表人或被授权人（签字或盖章）：</w:t>
      </w:r>
    </w:p>
    <w:p>
      <w:pPr>
        <w:spacing w:before="0"/>
        <w:ind w:right="-57" w:firstLine="0"/>
        <w:jc w:val="center"/>
        <w:rPr>
          <w:rFonts w:ascii="宋体" w:hAnsi="宋体"/>
        </w:rPr>
      </w:pPr>
      <w:r>
        <w:rPr>
          <w:rFonts w:hint="eastAsia" w:ascii="宋体" w:hAnsi="宋体"/>
        </w:rPr>
        <w:t xml:space="preserve">    日  期：   年   月   日</w:t>
      </w:r>
    </w:p>
    <w:p>
      <w:pPr>
        <w:pStyle w:val="6"/>
        <w:tabs>
          <w:tab w:val="left" w:pos="567"/>
          <w:tab w:val="left" w:pos="720"/>
        </w:tabs>
        <w:snapToGrid w:val="0"/>
        <w:spacing w:after="0"/>
        <w:ind w:right="0" w:firstLine="0"/>
        <w:jc w:val="left"/>
        <w:rPr>
          <w:rFonts w:ascii="宋体" w:hAnsi="宋体" w:cs="Arial"/>
        </w:rPr>
      </w:pPr>
      <w:r>
        <w:rPr>
          <w:rFonts w:ascii="宋体" w:hAnsi="宋体"/>
        </w:rPr>
        <w:br w:type="page"/>
      </w:r>
      <w:r>
        <w:rPr>
          <w:rFonts w:ascii="宋体" w:hAnsi="宋体"/>
          <w:sz w:val="21"/>
          <w:szCs w:val="21"/>
        </w:rPr>
        <w:t>B2比选申请函格式</w:t>
      </w:r>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w:t>
      </w:r>
      <w:r>
        <w:rPr>
          <w:rFonts w:hint="eastAsia" w:ascii="宋体" w:hAnsi="宋体"/>
        </w:rPr>
        <w:t>南宁轨道交通运营有限公司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              比选</w:t>
      </w:r>
      <w:r>
        <w:rPr>
          <w:rFonts w:ascii="宋体" w:hAnsi="宋体"/>
        </w:rPr>
        <w:t>采购服务的比选申请邀请(项目编号：</w:t>
      </w:r>
      <w:r>
        <w:rPr>
          <w:rFonts w:hint="eastAsia" w:ascii="宋体" w:hAnsi="宋体"/>
          <w:u w:val="single"/>
        </w:rPr>
        <w:t xml:space="preserve">         </w:t>
      </w:r>
      <w:r>
        <w:rPr>
          <w:rFonts w:ascii="宋体" w:hAnsi="宋体"/>
        </w:rPr>
        <w:t>)，签字人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hint="eastAsia" w:ascii="宋体" w:hAnsi="宋体"/>
          <w:u w:val="single"/>
        </w:rPr>
        <w:t>1</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r>
        <w:rPr>
          <w:rFonts w:ascii="宋体" w:hAnsi="宋体"/>
        </w:rPr>
        <w:t>1. 按比选文件要求规定的应提交和交付的服务并履行全部合同义务的比选申请总价如本比选申请文件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bCs/>
          <w:color w:val="000000" w:themeColor="text1"/>
          <w:u w:val="single"/>
          <w14:textFill>
            <w14:solidFill>
              <w14:schemeClr w14:val="tx1"/>
            </w14:solidFill>
          </w14:textFill>
        </w:rPr>
        <w:t>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pPr>
      <w:r>
        <w:rPr>
          <w:rFonts w:hint="eastAsia" w:ascii="宋体" w:hAnsi="宋体"/>
        </w:rPr>
        <w:t>7</w:t>
      </w:r>
      <w:r>
        <w:rPr>
          <w:rFonts w:ascii="宋体" w:hAnsi="宋体"/>
        </w:rPr>
        <w:t xml:space="preserve">. </w:t>
      </w:r>
      <w:r>
        <w:rPr>
          <w:rFonts w:ascii="宋体" w:hAnsi="宋体"/>
          <w:b/>
        </w:rPr>
        <w:t>本项目采用不含</w:t>
      </w:r>
      <w:r>
        <w:rPr>
          <w:rFonts w:hint="eastAsia" w:ascii="宋体" w:hAnsi="宋体"/>
          <w:b/>
        </w:rPr>
        <w:t>增值</w:t>
      </w:r>
      <w:r>
        <w:rPr>
          <w:rFonts w:ascii="宋体" w:hAnsi="宋体"/>
          <w:b/>
        </w:rPr>
        <w:t>税报价</w:t>
      </w:r>
      <w:r>
        <w:rPr>
          <w:rFonts w:hint="eastAsia" w:ascii="宋体" w:hAnsi="宋体"/>
          <w:b/>
        </w:rPr>
        <w:t>。</w:t>
      </w:r>
      <w:r>
        <w:rPr>
          <w:rFonts w:hint="eastAsia"/>
          <w:b/>
          <w:bCs/>
        </w:rPr>
        <w:t>在签订本项目合同时，遵循国家现行税法的相关规定在中选人不含增值税单价的基础上逐项增加增值税额，并明确相应增值税税率和增值税额，含税价格计算保留小数点后两位，含税合价为单价与数量的乘积，合同总价为分项合价之和。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 xml:space="preserve">日期：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rPr>
      </w:pPr>
    </w:p>
    <w:p>
      <w:pPr>
        <w:rPr>
          <w:rFonts w:ascii="宋体" w:hAnsi="宋体"/>
        </w:rPr>
      </w:pPr>
      <w:r>
        <w:rPr>
          <w:rFonts w:ascii="宋体" w:hAnsi="宋体"/>
        </w:rPr>
        <w:br w:type="page"/>
      </w:r>
    </w:p>
    <w:p>
      <w:pPr>
        <w:pStyle w:val="6"/>
        <w:tabs>
          <w:tab w:val="left" w:pos="567"/>
          <w:tab w:val="left" w:pos="720"/>
        </w:tabs>
        <w:snapToGrid w:val="0"/>
        <w:ind w:right="0" w:firstLine="0"/>
        <w:jc w:val="left"/>
        <w:rPr>
          <w:rFonts w:ascii="宋体" w:hAnsi="宋体"/>
          <w:sz w:val="21"/>
          <w:szCs w:val="21"/>
        </w:rPr>
        <w:sectPr>
          <w:pgSz w:w="11905" w:h="16838"/>
          <w:pgMar w:top="1417" w:right="1417" w:bottom="1417" w:left="1417" w:header="454" w:footer="567" w:gutter="0"/>
          <w:pgNumType w:fmt="decimal"/>
          <w:cols w:space="720" w:num="1"/>
          <w:docGrid w:linePitch="312" w:charSpace="0"/>
        </w:sectPr>
      </w:pPr>
    </w:p>
    <w:p>
      <w:pPr>
        <w:pStyle w:val="6"/>
        <w:tabs>
          <w:tab w:val="left" w:pos="567"/>
          <w:tab w:val="left" w:pos="720"/>
        </w:tabs>
        <w:snapToGrid w:val="0"/>
        <w:ind w:right="0" w:firstLine="0"/>
        <w:jc w:val="left"/>
        <w:rPr>
          <w:rFonts w:ascii="宋体" w:hAnsi="宋体"/>
          <w:sz w:val="21"/>
          <w:szCs w:val="21"/>
        </w:rPr>
      </w:pPr>
      <w:r>
        <w:rPr>
          <w:rFonts w:ascii="宋体" w:hAnsi="宋体"/>
          <w:sz w:val="21"/>
          <w:szCs w:val="21"/>
        </w:rPr>
        <w:t>B3比选申请报价表格式</w:t>
      </w:r>
    </w:p>
    <w:p>
      <w:pPr>
        <w:snapToGrid w:val="0"/>
        <w:spacing w:before="100" w:beforeAutospacing="1" w:after="100" w:afterAutospacing="1" w:line="240" w:lineRule="auto"/>
        <w:ind w:left="0" w:right="-57" w:firstLine="0"/>
        <w:jc w:val="center"/>
        <w:rPr>
          <w:rFonts w:ascii="宋体" w:hAnsi="宋体"/>
          <w:b/>
        </w:rPr>
      </w:pPr>
      <w:r>
        <w:rPr>
          <w:rFonts w:hint="eastAsia" w:ascii="宋体" w:hAnsi="宋体"/>
          <w:b/>
        </w:rPr>
        <w:t>比选申请报价表</w:t>
      </w:r>
    </w:p>
    <w:p>
      <w:pPr>
        <w:snapToGrid w:val="0"/>
        <w:spacing w:before="0" w:after="0" w:afterAutospacing="0"/>
        <w:ind w:left="0" w:right="-57" w:firstLine="0"/>
        <w:jc w:val="center"/>
        <w:rPr>
          <w:rFonts w:ascii="宋体" w:hAnsi="宋体"/>
          <w:b/>
        </w:rPr>
      </w:pPr>
    </w:p>
    <w:tbl>
      <w:tblPr>
        <w:tblStyle w:val="28"/>
        <w:tblW w:w="11635" w:type="dxa"/>
        <w:jc w:val="center"/>
        <w:tblLayout w:type="fixed"/>
        <w:tblCellMar>
          <w:top w:w="0" w:type="dxa"/>
          <w:left w:w="108" w:type="dxa"/>
          <w:bottom w:w="0" w:type="dxa"/>
          <w:right w:w="108" w:type="dxa"/>
        </w:tblCellMar>
      </w:tblPr>
      <w:tblGrid>
        <w:gridCol w:w="620"/>
        <w:gridCol w:w="961"/>
        <w:gridCol w:w="2405"/>
        <w:gridCol w:w="675"/>
        <w:gridCol w:w="825"/>
        <w:gridCol w:w="1080"/>
        <w:gridCol w:w="1320"/>
        <w:gridCol w:w="885"/>
        <w:gridCol w:w="2864"/>
      </w:tblGrid>
      <w:tr>
        <w:tblPrEx>
          <w:tblCellMar>
            <w:top w:w="0" w:type="dxa"/>
            <w:left w:w="108" w:type="dxa"/>
            <w:bottom w:w="0" w:type="dxa"/>
            <w:right w:w="108" w:type="dxa"/>
          </w:tblCellMar>
        </w:tblPrEx>
        <w:trPr>
          <w:trHeight w:val="510" w:hRule="atLeast"/>
          <w:tblHeader/>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ascii="宋体" w:hAnsi="宋体" w:cs="宋体"/>
                <w:b/>
                <w:bCs/>
              </w:rPr>
            </w:pPr>
            <w:r>
              <w:rPr>
                <w:rFonts w:hint="eastAsia" w:ascii="宋体" w:hAnsi="宋体" w:cs="宋体"/>
                <w:b/>
                <w:bCs/>
              </w:rPr>
              <w:t>序号</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项目名称</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项目内容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单位</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数量①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不含增值税单价（元）②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不含增值税合价（元）③=②*①</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税率</w:t>
            </w:r>
          </w:p>
        </w:tc>
        <w:tc>
          <w:tcPr>
            <w:tcW w:w="28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b/>
                <w:bCs/>
              </w:rPr>
            </w:pPr>
            <w:r>
              <w:rPr>
                <w:rFonts w:hint="eastAsia" w:ascii="宋体" w:hAnsi="宋体" w:cs="宋体"/>
                <w:b/>
                <w:bCs/>
              </w:rPr>
              <w:t>备注</w:t>
            </w:r>
          </w:p>
        </w:tc>
      </w:tr>
      <w:tr>
        <w:tblPrEx>
          <w:tblCellMar>
            <w:top w:w="0" w:type="dxa"/>
            <w:left w:w="108" w:type="dxa"/>
            <w:bottom w:w="0" w:type="dxa"/>
            <w:right w:w="108" w:type="dxa"/>
          </w:tblCellMar>
        </w:tblPrEx>
        <w:trPr>
          <w:cantSplit/>
          <w:trHeight w:val="620"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rPr>
            </w:pPr>
            <w:r>
              <w:rPr>
                <w:rFonts w:hint="eastAsia" w:ascii="宋体" w:hAnsi="宋体" w:cs="宋体"/>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ascii="宋体" w:hAnsi="宋体" w:cs="宋体"/>
                <w:sz w:val="22"/>
                <w:szCs w:val="22"/>
              </w:rPr>
            </w:pPr>
            <w:r>
              <w:rPr>
                <w:rFonts w:hint="eastAsia" w:ascii="宋体" w:hAnsi="宋体" w:cs="宋体"/>
                <w:color w:val="000000"/>
                <w:lang w:bidi="ar"/>
              </w:rPr>
              <w:t>牵引橡胶关节</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ascii="宋体" w:hAnsi="宋体" w:cs="宋体"/>
                <w:sz w:val="22"/>
                <w:szCs w:val="22"/>
              </w:rPr>
            </w:pPr>
            <w:r>
              <w:rPr>
                <w:rFonts w:hint="eastAsia" w:ascii="宋体" w:hAnsi="宋体" w:cs="宋体"/>
                <w:color w:val="000000"/>
                <w:lang w:bidi="ar"/>
              </w:rPr>
              <w:t>按用户需求书要求对样件进行检测与寿命评估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宋体"/>
                <w:sz w:val="22"/>
                <w:szCs w:val="22"/>
              </w:rPr>
            </w:pPr>
            <w:r>
              <w:rPr>
                <w:rFonts w:hint="eastAsia" w:ascii="宋体" w:hAnsi="宋体" w:cs="宋体"/>
                <w:sz w:val="22"/>
                <w:szCs w:val="22"/>
                <w:lang w:val="en-US" w:eastAsia="zh-CN" w:bidi="ar"/>
              </w:rPr>
              <w:t>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宋体"/>
                <w:sz w:val="22"/>
                <w:szCs w:val="22"/>
              </w:rPr>
            </w:pPr>
            <w:r>
              <w:rPr>
                <w:rFonts w:hint="eastAsia" w:ascii="宋体" w:hAnsi="宋体" w:cs="宋体"/>
                <w:sz w:val="22"/>
                <w:szCs w:val="22"/>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132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88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2864"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default" w:ascii="宋体" w:hAnsi="宋体" w:eastAsia="宋体" w:cs="宋体"/>
                <w:lang w:val="en-US" w:eastAsia="zh-CN"/>
              </w:rPr>
            </w:pPr>
            <w:r>
              <w:rPr>
                <w:rFonts w:hint="eastAsia"/>
                <w:lang w:val="en-US" w:eastAsia="zh-CN"/>
              </w:rPr>
              <w:t>4件样品包含</w:t>
            </w:r>
            <w:r>
              <w:rPr>
                <w:rFonts w:hint="eastAsia" w:ascii="宋体" w:hAnsi="宋体" w:cs="宋体"/>
                <w:color w:val="000000"/>
                <w:lang w:bidi="ar"/>
              </w:rPr>
              <w:t>1件新件样品和3件使用5年以上的</w:t>
            </w:r>
            <w:r>
              <w:rPr>
                <w:rFonts w:hint="eastAsia" w:ascii="宋体" w:hAnsi="宋体" w:cs="宋体"/>
                <w:color w:val="000000"/>
                <w:lang w:val="en-US" w:eastAsia="zh-CN" w:bidi="ar"/>
              </w:rPr>
              <w:t>旧件</w:t>
            </w:r>
            <w:r>
              <w:rPr>
                <w:rFonts w:hint="eastAsia" w:ascii="宋体" w:hAnsi="宋体" w:cs="宋体"/>
                <w:color w:val="000000"/>
                <w:lang w:bidi="ar"/>
              </w:rPr>
              <w:t>样品</w:t>
            </w:r>
          </w:p>
        </w:tc>
      </w:tr>
      <w:tr>
        <w:tblPrEx>
          <w:tblCellMar>
            <w:top w:w="0" w:type="dxa"/>
            <w:left w:w="108" w:type="dxa"/>
            <w:bottom w:w="0" w:type="dxa"/>
            <w:right w:w="108" w:type="dxa"/>
          </w:tblCellMar>
        </w:tblPrEx>
        <w:trPr>
          <w:cantSplit/>
          <w:trHeight w:val="620"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rPr>
            </w:pPr>
            <w:r>
              <w:rPr>
                <w:rFonts w:hint="eastAsia" w:ascii="宋体" w:hAnsi="宋体" w:cs="宋体"/>
              </w:rPr>
              <w:t>2</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ascii="宋体" w:hAnsi="宋体" w:cs="宋体"/>
                <w:sz w:val="22"/>
                <w:szCs w:val="22"/>
              </w:rPr>
            </w:pPr>
            <w:r>
              <w:rPr>
                <w:rFonts w:hint="eastAsia" w:ascii="宋体" w:hAnsi="宋体" w:cs="宋体"/>
                <w:color w:val="000000"/>
                <w:lang w:bidi="ar"/>
              </w:rPr>
              <w:t>一系橡胶垫</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ascii="宋体" w:hAnsi="宋体" w:cs="宋体"/>
                <w:sz w:val="22"/>
                <w:szCs w:val="22"/>
              </w:rPr>
            </w:pPr>
            <w:r>
              <w:rPr>
                <w:rFonts w:hint="eastAsia" w:ascii="宋体" w:hAnsi="宋体" w:cs="宋体"/>
                <w:color w:val="000000"/>
                <w:lang w:bidi="ar"/>
              </w:rPr>
              <w:t>按用户需求书要求对样件进行检测与寿命评估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宋体"/>
                <w:sz w:val="22"/>
                <w:szCs w:val="22"/>
              </w:rPr>
            </w:pPr>
            <w:r>
              <w:rPr>
                <w:rFonts w:hint="eastAsia" w:ascii="宋体" w:hAnsi="宋体" w:cs="宋体"/>
                <w:sz w:val="22"/>
                <w:szCs w:val="22"/>
                <w:lang w:val="en-US" w:eastAsia="zh-CN" w:bidi="ar"/>
              </w:rPr>
              <w:t>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宋体"/>
                <w:sz w:val="22"/>
                <w:szCs w:val="22"/>
              </w:rPr>
            </w:pPr>
            <w:r>
              <w:rPr>
                <w:rFonts w:hint="eastAsia" w:ascii="宋体" w:hAnsi="宋体" w:cs="宋体"/>
                <w:sz w:val="22"/>
                <w:szCs w:val="22"/>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1320"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885"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rPr>
            </w:pPr>
          </w:p>
        </w:tc>
        <w:tc>
          <w:tcPr>
            <w:tcW w:w="2864"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rPr>
            </w:pPr>
            <w:r>
              <w:rPr>
                <w:rFonts w:hint="eastAsia"/>
                <w:lang w:val="en-US" w:eastAsia="zh-CN"/>
              </w:rPr>
              <w:t>4件样品包含</w:t>
            </w:r>
            <w:r>
              <w:rPr>
                <w:rFonts w:hint="eastAsia" w:ascii="宋体" w:hAnsi="宋体" w:cs="宋体"/>
                <w:color w:val="000000"/>
                <w:lang w:bidi="ar"/>
              </w:rPr>
              <w:t>1件新件样品和3件使用5年以上的</w:t>
            </w:r>
            <w:r>
              <w:rPr>
                <w:rFonts w:hint="eastAsia" w:ascii="宋体" w:hAnsi="宋体" w:cs="宋体"/>
                <w:color w:val="000000"/>
                <w:lang w:val="en-US" w:eastAsia="zh-CN" w:bidi="ar"/>
              </w:rPr>
              <w:t>旧件</w:t>
            </w:r>
            <w:r>
              <w:rPr>
                <w:rFonts w:hint="eastAsia" w:ascii="宋体" w:hAnsi="宋体" w:cs="宋体"/>
                <w:color w:val="000000"/>
                <w:lang w:bidi="ar"/>
              </w:rPr>
              <w:t>样品</w:t>
            </w:r>
          </w:p>
        </w:tc>
      </w:tr>
      <w:tr>
        <w:tblPrEx>
          <w:tblCellMar>
            <w:top w:w="0" w:type="dxa"/>
            <w:left w:w="108" w:type="dxa"/>
            <w:bottom w:w="0" w:type="dxa"/>
            <w:right w:w="108" w:type="dxa"/>
          </w:tblCellMar>
        </w:tblPrEx>
        <w:trPr>
          <w:cantSplit/>
          <w:trHeight w:val="620"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rPr>
            </w:pPr>
            <w:r>
              <w:rPr>
                <w:rFonts w:hint="eastAsia" w:ascii="宋体" w:hAnsi="宋体" w:cs="宋体"/>
              </w:rPr>
              <w:t>3</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ascii="宋体" w:hAnsi="宋体" w:cs="宋体"/>
                <w:sz w:val="22"/>
                <w:szCs w:val="22"/>
              </w:rPr>
            </w:pPr>
            <w:r>
              <w:rPr>
                <w:rFonts w:hint="eastAsia" w:ascii="宋体" w:hAnsi="宋体" w:cs="宋体"/>
                <w:color w:val="000000"/>
                <w:lang w:bidi="ar"/>
              </w:rPr>
              <w:t>转臂定位橡胶关节</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ascii="宋体" w:hAnsi="宋体" w:cs="宋体"/>
                <w:sz w:val="22"/>
                <w:szCs w:val="22"/>
              </w:rPr>
            </w:pPr>
            <w:r>
              <w:rPr>
                <w:rFonts w:hint="eastAsia" w:ascii="宋体" w:hAnsi="宋体" w:cs="宋体"/>
                <w:color w:val="000000"/>
                <w:lang w:bidi="ar"/>
              </w:rPr>
              <w:t>按用户需求书要求对样件进行检测与寿命评估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宋体"/>
                <w:sz w:val="22"/>
                <w:szCs w:val="22"/>
              </w:rPr>
            </w:pPr>
            <w:r>
              <w:rPr>
                <w:rFonts w:hint="eastAsia" w:ascii="宋体" w:hAnsi="宋体" w:cs="宋体"/>
                <w:sz w:val="22"/>
                <w:szCs w:val="22"/>
                <w:lang w:val="en-US" w:eastAsia="zh-CN" w:bidi="ar"/>
              </w:rPr>
              <w:t>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ascii="宋体" w:hAnsi="宋体" w:cs="宋体"/>
                <w:sz w:val="22"/>
                <w:szCs w:val="22"/>
              </w:rPr>
            </w:pPr>
            <w:r>
              <w:rPr>
                <w:rFonts w:hint="eastAsia" w:ascii="宋体" w:hAnsi="宋体" w:cs="宋体"/>
                <w:sz w:val="22"/>
                <w:szCs w:val="22"/>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1320"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885"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rPr>
            </w:pPr>
          </w:p>
        </w:tc>
        <w:tc>
          <w:tcPr>
            <w:tcW w:w="2864"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rPr>
            </w:pPr>
            <w:r>
              <w:rPr>
                <w:rFonts w:hint="eastAsia"/>
                <w:lang w:val="en-US" w:eastAsia="zh-CN"/>
              </w:rPr>
              <w:t>4件样品包含</w:t>
            </w:r>
            <w:r>
              <w:rPr>
                <w:rFonts w:hint="eastAsia" w:ascii="宋体" w:hAnsi="宋体" w:cs="宋体"/>
                <w:color w:val="000000"/>
                <w:lang w:bidi="ar"/>
              </w:rPr>
              <w:t>1件新件样品和3件使用5年以上的</w:t>
            </w:r>
            <w:r>
              <w:rPr>
                <w:rFonts w:hint="eastAsia" w:ascii="宋体" w:hAnsi="宋体" w:cs="宋体"/>
                <w:color w:val="000000"/>
                <w:lang w:val="en-US" w:eastAsia="zh-CN" w:bidi="ar"/>
              </w:rPr>
              <w:t>旧件</w:t>
            </w:r>
            <w:r>
              <w:rPr>
                <w:rFonts w:hint="eastAsia" w:ascii="宋体" w:hAnsi="宋体" w:cs="宋体"/>
                <w:color w:val="000000"/>
                <w:lang w:bidi="ar"/>
              </w:rPr>
              <w:t>样品</w:t>
            </w:r>
          </w:p>
        </w:tc>
      </w:tr>
      <w:tr>
        <w:tblPrEx>
          <w:tblCellMar>
            <w:top w:w="0" w:type="dxa"/>
            <w:left w:w="108" w:type="dxa"/>
            <w:bottom w:w="0" w:type="dxa"/>
            <w:right w:w="108" w:type="dxa"/>
          </w:tblCellMar>
        </w:tblPrEx>
        <w:trPr>
          <w:cantSplit/>
          <w:trHeight w:val="620" w:hRule="atLeast"/>
          <w:jc w:val="center"/>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lang w:val="en-US" w:eastAsia="zh-CN"/>
              </w:rPr>
            </w:pPr>
            <w:r>
              <w:rPr>
                <w:rFonts w:hint="eastAsia" w:ascii="宋体" w:hAnsi="宋体" w:cs="宋体"/>
                <w:lang w:val="en-US" w:eastAsia="zh-CN"/>
              </w:rPr>
              <w:t>4</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hint="eastAsia" w:ascii="宋体" w:hAnsi="宋体" w:eastAsia="宋体" w:cs="宋体"/>
                <w:color w:val="000000"/>
                <w:lang w:val="en-US" w:eastAsia="zh-CN" w:bidi="ar"/>
              </w:rPr>
            </w:pPr>
            <w:r>
              <w:rPr>
                <w:rFonts w:hint="eastAsia" w:ascii="宋体" w:hAnsi="宋体" w:cs="宋体"/>
                <w:color w:val="000000"/>
                <w:lang w:val="en-US" w:eastAsia="zh-CN" w:bidi="ar"/>
              </w:rPr>
              <w:t>合计</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hint="eastAsia" w:ascii="宋体" w:hAnsi="宋体" w:eastAsia="宋体" w:cs="宋体"/>
                <w:color w:val="000000"/>
                <w:lang w:val="en-US" w:eastAsia="zh-CN" w:bidi="ar"/>
              </w:rPr>
            </w:pPr>
            <w:r>
              <w:rPr>
                <w:rFonts w:hint="eastAsia" w:ascii="宋体" w:hAnsi="宋体" w:cs="宋体"/>
                <w:color w:val="000000"/>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default" w:ascii="宋体" w:hAnsi="宋体" w:cs="宋体"/>
                <w:sz w:val="22"/>
                <w:szCs w:val="22"/>
                <w:lang w:val="en-US" w:eastAsia="zh-CN" w:bidi="ar"/>
              </w:rPr>
            </w:pPr>
            <w:r>
              <w:rPr>
                <w:rFonts w:hint="eastAsia" w:ascii="宋体" w:hAnsi="宋体" w:cs="宋体"/>
                <w:sz w:val="22"/>
                <w:szCs w:val="22"/>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rFonts w:hint="eastAsia" w:ascii="宋体" w:hAnsi="宋体" w:eastAsia="宋体" w:cs="宋体"/>
                <w:sz w:val="22"/>
                <w:szCs w:val="22"/>
                <w:lang w:val="en-US" w:eastAsia="zh-CN" w:bidi="ar"/>
              </w:rPr>
            </w:pPr>
            <w:r>
              <w:rPr>
                <w:rFonts w:hint="eastAsia" w:ascii="宋体" w:hAnsi="宋体" w:cs="宋体"/>
                <w:sz w:val="22"/>
                <w:szCs w:val="22"/>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hint="eastAsia" w:ascii="宋体" w:hAnsi="宋体" w:eastAsia="宋体" w:cs="宋体"/>
                <w:lang w:val="en-US" w:eastAsia="zh-CN"/>
              </w:rPr>
            </w:pPr>
            <w:r>
              <w:rPr>
                <w:rFonts w:hint="eastAsia" w:ascii="宋体" w:hAnsi="宋体" w:cs="宋体"/>
                <w:lang w:val="en-US" w:eastAsia="zh-CN"/>
              </w:rPr>
              <w:t>/</w:t>
            </w:r>
          </w:p>
        </w:tc>
        <w:tc>
          <w:tcPr>
            <w:tcW w:w="1320"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textAlignment w:val="center"/>
              <w:rPr>
                <w:rFonts w:ascii="宋体" w:hAnsi="宋体" w:cs="宋体"/>
              </w:rPr>
            </w:pPr>
          </w:p>
        </w:tc>
        <w:tc>
          <w:tcPr>
            <w:tcW w:w="885"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rPr>
                <w:rFonts w:ascii="宋体" w:hAnsi="宋体" w:cs="宋体"/>
              </w:rPr>
            </w:pPr>
          </w:p>
        </w:tc>
        <w:tc>
          <w:tcPr>
            <w:tcW w:w="2864"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center"/>
              <w:rPr>
                <w:rFonts w:hint="default"/>
                <w:lang w:val="en-US" w:eastAsia="zh-CN"/>
              </w:rPr>
            </w:pPr>
            <w:r>
              <w:rPr>
                <w:rFonts w:hint="eastAsia"/>
                <w:lang w:val="en-US" w:eastAsia="zh-CN"/>
              </w:rPr>
              <w:t>/</w:t>
            </w:r>
          </w:p>
        </w:tc>
      </w:tr>
    </w:tbl>
    <w:p>
      <w:pPr>
        <w:snapToGrid w:val="0"/>
        <w:spacing w:before="0" w:after="0" w:afterAutospacing="0" w:line="240" w:lineRule="auto"/>
        <w:ind w:right="-57" w:firstLine="0"/>
        <w:jc w:val="left"/>
        <w:rPr>
          <w:rFonts w:ascii="宋体" w:hAnsi="宋体"/>
          <w:b/>
        </w:rPr>
      </w:pPr>
    </w:p>
    <w:p>
      <w:pPr>
        <w:snapToGrid w:val="0"/>
        <w:spacing w:before="0" w:after="0" w:afterAutospacing="0"/>
        <w:ind w:right="-57" w:firstLine="0"/>
        <w:jc w:val="right"/>
        <w:rPr>
          <w:rFonts w:ascii="宋体" w:hAnsi="宋体"/>
        </w:rPr>
      </w:pPr>
      <w:r>
        <w:rPr>
          <w:rFonts w:ascii="宋体" w:hAnsi="宋体"/>
        </w:rPr>
        <w:t xml:space="preserve"> </w:t>
      </w:r>
    </w:p>
    <w:p>
      <w:pPr>
        <w:snapToGrid w:val="0"/>
        <w:spacing w:after="0" w:afterAutospacing="0"/>
        <w:ind w:right="-816" w:firstLine="0"/>
        <w:jc w:val="center"/>
        <w:rPr>
          <w:rFonts w:ascii="宋体" w:hAnsi="宋体"/>
          <w:u w:val="single"/>
        </w:rPr>
      </w:pPr>
      <w:r>
        <w:rPr>
          <w:rFonts w:hint="eastAsia" w:ascii="宋体" w:hAnsi="宋体"/>
        </w:rPr>
        <w:t>比选申请人名称（盖章）：</w:t>
      </w:r>
    </w:p>
    <w:p>
      <w:pPr>
        <w:snapToGrid w:val="0"/>
        <w:spacing w:before="0" w:after="0" w:afterAutospacing="0"/>
        <w:ind w:left="0" w:right="-57" w:firstLine="0"/>
        <w:jc w:val="center"/>
        <w:rPr>
          <w:rFonts w:ascii="宋体" w:hAnsi="宋体"/>
        </w:rPr>
        <w:sectPr>
          <w:pgSz w:w="16838" w:h="11905" w:orient="landscape"/>
          <w:pgMar w:top="1417" w:right="1417" w:bottom="1417" w:left="1417" w:header="454" w:footer="567" w:gutter="0"/>
          <w:pgNumType w:fmt="decimal"/>
          <w:cols w:space="720" w:num="1"/>
          <w:docGrid w:linePitch="312" w:charSpace="0"/>
        </w:sectPr>
      </w:pPr>
      <w:r>
        <w:rPr>
          <w:rFonts w:hint="eastAsia" w:ascii="宋体" w:hAnsi="宋体"/>
        </w:rPr>
        <w:t xml:space="preserve">            日期：   年   月    日</w:t>
      </w:r>
    </w:p>
    <w:p>
      <w:pPr>
        <w:pStyle w:val="5"/>
        <w:pageBreakBefore/>
        <w:spacing w:after="100"/>
        <w:ind w:right="-57" w:firstLine="0"/>
        <w:jc w:val="center"/>
        <w:rPr>
          <w:rFonts w:hAnsi="宋体"/>
          <w:b w:val="0"/>
          <w:sz w:val="24"/>
          <w:szCs w:val="24"/>
        </w:rPr>
      </w:pPr>
      <w:bookmarkStart w:id="1262" w:name="_Toc15039"/>
      <w:bookmarkStart w:id="1263" w:name="_Toc21946"/>
      <w:bookmarkStart w:id="1264" w:name="_Toc2204"/>
      <w:bookmarkStart w:id="1265" w:name="_Toc30194"/>
      <w:bookmarkStart w:id="1266" w:name="_Toc6274"/>
      <w:bookmarkStart w:id="1267" w:name="_Toc24084"/>
      <w:r>
        <w:rPr>
          <w:rFonts w:hint="eastAsia"/>
          <w:sz w:val="24"/>
          <w:szCs w:val="24"/>
        </w:rPr>
        <w:t>C</w:t>
      </w:r>
      <w:r>
        <w:rPr>
          <w:rFonts w:hAnsi="宋体"/>
          <w:sz w:val="24"/>
          <w:szCs w:val="24"/>
        </w:rPr>
        <w:t>技术</w:t>
      </w:r>
      <w:r>
        <w:rPr>
          <w:rFonts w:hint="eastAsia" w:hAnsi="宋体"/>
          <w:sz w:val="24"/>
          <w:szCs w:val="24"/>
        </w:rPr>
        <w:t>文件</w:t>
      </w:r>
      <w:bookmarkEnd w:id="1262"/>
      <w:bookmarkEnd w:id="1263"/>
      <w:bookmarkEnd w:id="1264"/>
      <w:bookmarkEnd w:id="1265"/>
      <w:bookmarkEnd w:id="1266"/>
      <w:bookmarkEnd w:id="1267"/>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rPr>
          <w:rFonts w:ascii="宋体" w:hAnsi="宋体"/>
        </w:rPr>
      </w:pPr>
      <w:r>
        <w:rPr>
          <w:rFonts w:hint="eastAsia" w:ascii="宋体" w:hAnsi="宋体"/>
        </w:rPr>
        <w:t>（1）技术响应表（格式见C1）；</w:t>
      </w:r>
    </w:p>
    <w:p>
      <w:pPr>
        <w:spacing w:before="0" w:after="0" w:afterAutospacing="0"/>
        <w:ind w:left="0" w:right="0" w:firstLine="315" w:firstLineChars="150"/>
        <w:rPr>
          <w:rFonts w:ascii="宋体" w:hAnsi="宋体"/>
        </w:rPr>
      </w:pPr>
      <w:r>
        <w:rPr>
          <w:rFonts w:hint="eastAsia" w:ascii="宋体" w:hAnsi="宋体"/>
        </w:rPr>
        <w:t>（2）</w:t>
      </w:r>
      <w:r>
        <w:rPr>
          <w:rFonts w:ascii="宋体" w:hAnsi="宋体"/>
        </w:rPr>
        <w:t>按期</w:t>
      </w:r>
      <w:r>
        <w:rPr>
          <w:rFonts w:hint="eastAsia" w:ascii="宋体" w:hAnsi="宋体"/>
        </w:rPr>
        <w:t>完成</w:t>
      </w:r>
      <w:r>
        <w:rPr>
          <w:rFonts w:ascii="宋体" w:hAnsi="宋体"/>
        </w:rPr>
        <w:t>承诺书</w:t>
      </w:r>
      <w:r>
        <w:rPr>
          <w:rFonts w:hint="eastAsia" w:ascii="宋体" w:hAnsi="宋体"/>
        </w:rPr>
        <w:t>（格式见C2）；</w:t>
      </w:r>
    </w:p>
    <w:p>
      <w:pPr>
        <w:spacing w:before="0" w:after="0" w:afterAutospacing="0"/>
        <w:ind w:left="0" w:right="0" w:firstLine="315" w:firstLineChars="150"/>
        <w:rPr>
          <w:rFonts w:ascii="宋体" w:hAnsi="宋体"/>
        </w:rPr>
      </w:pPr>
      <w:r>
        <w:rPr>
          <w:rFonts w:hint="eastAsia" w:ascii="宋体" w:hAnsi="宋体"/>
        </w:rPr>
        <w:t>（3）商务响应表格式（格式见C3）；</w:t>
      </w:r>
    </w:p>
    <w:p>
      <w:pPr>
        <w:spacing w:before="0" w:after="0" w:afterAutospacing="0"/>
        <w:ind w:left="0" w:right="0" w:firstLine="315" w:firstLineChars="150"/>
        <w:rPr>
          <w:rFonts w:ascii="宋体" w:hAnsi="宋体"/>
        </w:rPr>
      </w:pPr>
      <w:r>
        <w:rPr>
          <w:rFonts w:hint="eastAsia" w:ascii="宋体" w:hAnsi="宋体"/>
        </w:rPr>
        <w:t>（4）</w:t>
      </w:r>
      <w:r>
        <w:rPr>
          <w:rFonts w:hint="eastAsia" w:ascii="宋体" w:hAnsi="宋体"/>
          <w:b/>
          <w:bCs/>
        </w:rPr>
        <w:t>橡胶件检测方案</w:t>
      </w:r>
      <w:r>
        <w:rPr>
          <w:rFonts w:hint="eastAsia" w:ascii="宋体" w:hAnsi="宋体"/>
        </w:rPr>
        <w:t>（包括但不限于如何对本项目橡胶件进行检测等内容，格式自拟）；</w:t>
      </w:r>
    </w:p>
    <w:p>
      <w:pPr>
        <w:spacing w:before="0" w:after="0" w:afterAutospacing="0"/>
        <w:ind w:left="0" w:right="0" w:firstLine="315" w:firstLineChars="150"/>
        <w:rPr>
          <w:rFonts w:ascii="宋体" w:hAnsi="宋体"/>
        </w:rPr>
      </w:pPr>
      <w:r>
        <w:rPr>
          <w:rFonts w:hint="eastAsia" w:ascii="宋体" w:hAnsi="宋体"/>
        </w:rPr>
        <w:t>（5）比选申请人认为应提交的其他比选申请资料（如有）。</w:t>
      </w:r>
    </w:p>
    <w:p>
      <w:pPr>
        <w:ind w:left="0" w:firstLine="0"/>
        <w:rPr>
          <w:rFonts w:ascii="宋体" w:hAnsi="宋体"/>
        </w:rPr>
      </w:pPr>
      <w:r>
        <w:rPr>
          <w:rFonts w:hint="eastAsia" w:ascii="宋体" w:hAnsi="宋体"/>
        </w:rPr>
        <w:br w:type="page"/>
      </w:r>
    </w:p>
    <w:p>
      <w:pPr>
        <w:pStyle w:val="6"/>
        <w:tabs>
          <w:tab w:val="left" w:pos="567"/>
          <w:tab w:val="left" w:pos="720"/>
        </w:tabs>
        <w:snapToGrid w:val="0"/>
        <w:ind w:right="-57" w:firstLine="0"/>
        <w:jc w:val="left"/>
        <w:rPr>
          <w:rFonts w:ascii="宋体" w:hAnsi="宋体"/>
          <w:sz w:val="21"/>
          <w:szCs w:val="21"/>
        </w:rPr>
      </w:pPr>
      <w:r>
        <w:rPr>
          <w:rFonts w:ascii="宋体" w:hAnsi="宋体"/>
          <w:sz w:val="21"/>
          <w:szCs w:val="21"/>
        </w:rPr>
        <w:t>C1 技术响应表格式</w:t>
      </w:r>
    </w:p>
    <w:p>
      <w:pPr>
        <w:spacing w:before="0"/>
        <w:ind w:right="-57" w:firstLine="0"/>
        <w:jc w:val="center"/>
        <w:rPr>
          <w:rFonts w:ascii="宋体" w:hAnsi="宋体"/>
          <w:b/>
          <w:sz w:val="28"/>
          <w:szCs w:val="28"/>
        </w:rPr>
      </w:pPr>
      <w:bookmarkStart w:id="1268" w:name="_Toc26240"/>
      <w:bookmarkStart w:id="1269" w:name="_Toc20375"/>
      <w:bookmarkStart w:id="1270" w:name="_Toc1565"/>
      <w:bookmarkStart w:id="1271" w:name="_Toc29498"/>
      <w:bookmarkStart w:id="1272" w:name="_Toc6491"/>
      <w:r>
        <w:rPr>
          <w:rFonts w:ascii="宋体" w:hAnsi="宋体"/>
          <w:b/>
        </w:rPr>
        <w:t>技术响应表</w:t>
      </w:r>
      <w:r>
        <w:rPr>
          <w:rFonts w:ascii="宋体" w:hAnsi="宋体" w:cs="宋体"/>
          <w:sz w:val="16"/>
          <w:szCs w:val="16"/>
        </w:rPr>
        <w:t>（不论有无偏离，均须逐项填写偏离情况）</w:t>
      </w:r>
      <w:bookmarkEnd w:id="1268"/>
      <w:bookmarkEnd w:id="1269"/>
      <w:bookmarkEnd w:id="1270"/>
      <w:bookmarkEnd w:id="1271"/>
      <w:bookmarkEnd w:id="1272"/>
    </w:p>
    <w:p>
      <w:pPr>
        <w:spacing w:before="0" w:after="0" w:afterAutospacing="0"/>
        <w:ind w:right="0"/>
        <w:rPr>
          <w:rFonts w:ascii="宋体" w:hAnsi="宋体"/>
          <w:u w:val="single"/>
        </w:rPr>
      </w:pPr>
      <w:r>
        <w:rPr>
          <w:rFonts w:ascii="宋体" w:hAnsi="宋体"/>
        </w:rPr>
        <w:t>比选申请人名称：</w:t>
      </w:r>
    </w:p>
    <w:tbl>
      <w:tblPr>
        <w:tblStyle w:val="28"/>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9"/>
        <w:gridCol w:w="1770"/>
        <w:gridCol w:w="2300"/>
        <w:gridCol w:w="1750"/>
        <w:gridCol w:w="1259"/>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ascii="宋体" w:hAnsi="宋体"/>
              </w:rPr>
            </w:pPr>
            <w:r>
              <w:rPr>
                <w:rFonts w:ascii="宋体" w:hAnsi="宋体"/>
              </w:rPr>
              <w:t>序号</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jc w:val="center"/>
              <w:rPr>
                <w:rFonts w:ascii="宋体" w:hAnsi="宋体"/>
              </w:rPr>
            </w:pPr>
            <w:r>
              <w:rPr>
                <w:rFonts w:ascii="宋体" w:hAnsi="宋体"/>
              </w:rPr>
              <w:t>用户需求书条目号</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ascii="宋体" w:hAnsi="宋体"/>
              </w:rPr>
            </w:pPr>
            <w:r>
              <w:rPr>
                <w:rFonts w:ascii="宋体" w:hAnsi="宋体"/>
              </w:rPr>
              <w:t>用户需求书要求</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jc w:val="center"/>
              <w:rPr>
                <w:rFonts w:ascii="宋体" w:hAnsi="宋体"/>
              </w:rPr>
            </w:pPr>
            <w:r>
              <w:rPr>
                <w:rFonts w:ascii="宋体" w:hAnsi="宋体"/>
              </w:rPr>
              <w:t>比选申请文件响应</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ascii="宋体" w:hAnsi="宋体"/>
              </w:rPr>
            </w:pPr>
            <w:r>
              <w:rPr>
                <w:rFonts w:ascii="宋体" w:hAnsi="宋体"/>
              </w:rPr>
              <w:t>偏离</w:t>
            </w:r>
          </w:p>
        </w:tc>
        <w:tc>
          <w:tcPr>
            <w:tcW w:w="1177"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ascii="宋体" w:hAnsi="宋体"/>
              </w:rPr>
            </w:pPr>
            <w:r>
              <w:rPr>
                <w:rFonts w:ascii="宋体" w:hAnsi="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ascii="宋体" w:hAnsi="宋体" w:cs="宋体"/>
                <w:kern w:val="2"/>
              </w:rPr>
            </w:pPr>
            <w:r>
              <w:rPr>
                <w:rFonts w:ascii="宋体" w:hAnsi="宋体" w:cs="宋体"/>
                <w:kern w:val="2"/>
              </w:rPr>
              <w:t>1</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hint="default" w:ascii="宋体" w:hAnsi="宋体" w:eastAsia="宋体" w:cs="宋体"/>
                <w:kern w:val="2"/>
                <w:lang w:val="en-US" w:eastAsia="zh-CN"/>
              </w:rPr>
            </w:pPr>
            <w:r>
              <w:rPr>
                <w:rFonts w:hint="eastAsia" w:ascii="宋体" w:hAnsi="宋体" w:cs="宋体"/>
                <w:kern w:val="2"/>
                <w:lang w:val="en-US" w:eastAsia="zh-CN"/>
              </w:rPr>
              <w:t>一、项目背景</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ascii="宋体" w:hAnsi="宋体" w:cs="宋体"/>
                <w:kern w:val="2"/>
              </w:rPr>
            </w:pPr>
            <w:r>
              <w:rPr>
                <w:rFonts w:hint="eastAsia" w:ascii="宋体" w:hAnsi="宋体" w:cs="宋体"/>
                <w:kern w:val="2"/>
                <w:lang w:val="en-US" w:eastAsia="zh-CN"/>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ascii="宋体" w:hAnsi="宋体" w:cs="宋体"/>
                <w:kern w:val="2"/>
              </w:rPr>
            </w:pPr>
            <w:r>
              <w:rPr>
                <w:rFonts w:ascii="宋体" w:hAnsi="宋体" w:cs="宋体"/>
                <w:kern w:val="2"/>
              </w:rPr>
              <w:t>2</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ind w:left="0" w:firstLine="0"/>
              <w:jc w:val="center"/>
              <w:rPr>
                <w:rFonts w:hint="default" w:ascii="宋体" w:hAnsi="宋体" w:eastAsia="宋体" w:cs="宋体"/>
                <w:kern w:val="2"/>
                <w:lang w:val="en-US" w:eastAsia="zh-CN"/>
              </w:rPr>
            </w:pPr>
            <w:r>
              <w:rPr>
                <w:rFonts w:hint="eastAsia" w:ascii="宋体" w:hAnsi="宋体" w:cs="宋体"/>
                <w:kern w:val="2"/>
                <w:lang w:val="en-US" w:eastAsia="zh-CN"/>
              </w:rPr>
              <w:t>三、项目概况</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hint="default" w:ascii="宋体" w:hAnsi="宋体" w:eastAsia="宋体" w:cs="宋体"/>
                <w:lang w:val="en-US" w:eastAsia="zh-CN"/>
              </w:rPr>
            </w:pPr>
            <w:r>
              <w:rPr>
                <w:rFonts w:hint="eastAsia" w:ascii="宋体" w:hAnsi="宋体" w:cs="宋体"/>
                <w:color w:val="auto"/>
                <w:kern w:val="2"/>
                <w:lang w:val="en-US" w:eastAsia="zh-CN" w:bidi="ar"/>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ascii="宋体" w:hAnsi="宋体" w:cs="宋体"/>
                <w:kern w:val="2"/>
              </w:rPr>
            </w:pPr>
            <w:r>
              <w:rPr>
                <w:rFonts w:ascii="宋体" w:hAnsi="宋体" w:cs="宋体"/>
                <w:kern w:val="2"/>
              </w:rPr>
              <w:t>3</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hint="default" w:ascii="宋体" w:hAnsi="宋体" w:eastAsia="宋体" w:cs="宋体"/>
                <w:kern w:val="2"/>
                <w:lang w:val="en-US" w:eastAsia="zh-CN"/>
              </w:rPr>
            </w:pPr>
            <w:r>
              <w:rPr>
                <w:rFonts w:hint="eastAsia" w:ascii="宋体" w:hAnsi="宋体" w:cs="宋体"/>
                <w:kern w:val="2"/>
                <w:lang w:val="en-US" w:eastAsia="zh-CN"/>
              </w:rPr>
              <w:t>四、项目要求</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hint="default" w:ascii="宋体" w:hAnsi="宋体" w:eastAsia="宋体" w:cs="宋体"/>
                <w:lang w:val="en-US" w:eastAsia="zh-CN"/>
              </w:rPr>
            </w:pPr>
            <w:r>
              <w:rPr>
                <w:rFonts w:hint="eastAsia" w:ascii="宋体" w:hAnsi="宋体" w:cs="宋体"/>
                <w:color w:val="000000"/>
                <w:lang w:val="en-US" w:eastAsia="zh-CN" w:bidi="ar"/>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ascii="宋体" w:hAnsi="宋体" w:cs="宋体"/>
                <w:kern w:val="2"/>
              </w:rPr>
            </w:pPr>
            <w:r>
              <w:rPr>
                <w:rFonts w:hint="eastAsia" w:ascii="宋体" w:hAnsi="宋体" w:cs="宋体"/>
                <w:kern w:val="2"/>
              </w:rPr>
              <w:t>4</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ind w:left="0" w:right="0" w:firstLine="0"/>
              <w:jc w:val="center"/>
              <w:rPr>
                <w:rFonts w:hint="default" w:ascii="宋体" w:hAnsi="宋体" w:eastAsia="宋体" w:cs="宋体"/>
                <w:kern w:val="2"/>
                <w:lang w:val="en-US" w:eastAsia="zh-CN"/>
              </w:rPr>
            </w:pPr>
            <w:r>
              <w:rPr>
                <w:rFonts w:hint="eastAsia" w:ascii="宋体" w:hAnsi="宋体" w:cs="宋体"/>
                <w:kern w:val="2"/>
                <w:lang w:val="en-US" w:eastAsia="zh-CN"/>
              </w:rPr>
              <w:t>五、承包人人员要求</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ascii="宋体" w:hAnsi="宋体" w:cs="宋体"/>
              </w:rPr>
            </w:pPr>
            <w:r>
              <w:rPr>
                <w:rFonts w:hint="eastAsia" w:ascii="宋体" w:hAnsi="宋体" w:cs="宋体"/>
                <w:color w:val="000000"/>
                <w:lang w:val="en-US" w:eastAsia="zh-CN" w:bidi="ar"/>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hint="eastAsia" w:ascii="宋体" w:hAnsi="宋体" w:eastAsia="宋体" w:cs="宋体"/>
                <w:kern w:val="2"/>
                <w:lang w:val="en-US" w:eastAsia="zh-CN"/>
              </w:rPr>
            </w:pPr>
            <w:r>
              <w:rPr>
                <w:rFonts w:hint="eastAsia" w:ascii="宋体" w:hAnsi="宋体" w:cs="宋体"/>
                <w:kern w:val="2"/>
                <w:lang w:val="en-US" w:eastAsia="zh-CN"/>
              </w:rPr>
              <w:t>5</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ind w:left="0" w:right="0" w:firstLine="0"/>
              <w:jc w:val="center"/>
              <w:rPr>
                <w:rFonts w:hint="default" w:ascii="宋体" w:hAnsi="宋体" w:eastAsia="宋体" w:cs="宋体"/>
                <w:kern w:val="2"/>
                <w:lang w:val="en-US" w:eastAsia="zh-CN"/>
              </w:rPr>
            </w:pPr>
            <w:r>
              <w:rPr>
                <w:rFonts w:hint="eastAsia" w:ascii="宋体" w:hAnsi="宋体" w:cs="宋体"/>
                <w:kern w:val="2"/>
                <w:lang w:val="en-US" w:eastAsia="zh-CN"/>
              </w:rPr>
              <w:t>六、承包人资质要求</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hint="eastAsia" w:ascii="宋体" w:hAnsi="宋体" w:cs="宋体"/>
                <w:color w:val="000000"/>
                <w:lang w:bidi="ar"/>
              </w:rPr>
            </w:pPr>
            <w:r>
              <w:rPr>
                <w:rFonts w:hint="eastAsia" w:ascii="宋体" w:hAnsi="宋体" w:cs="宋体"/>
                <w:color w:val="000000"/>
                <w:lang w:val="en-US" w:eastAsia="zh-CN" w:bidi="ar"/>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hint="eastAsia" w:ascii="宋体" w:hAnsi="宋体" w:eastAsia="宋体" w:cs="宋体"/>
                <w:kern w:val="2"/>
                <w:lang w:val="en-US" w:eastAsia="zh-CN"/>
              </w:rPr>
            </w:pPr>
            <w:r>
              <w:rPr>
                <w:rFonts w:hint="eastAsia" w:ascii="宋体" w:hAnsi="宋体" w:cs="宋体"/>
                <w:kern w:val="2"/>
                <w:lang w:val="en-US" w:eastAsia="zh-CN"/>
              </w:rPr>
              <w:t>6</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ind w:left="0" w:right="0" w:firstLine="0"/>
              <w:jc w:val="center"/>
              <w:rPr>
                <w:rFonts w:hint="default" w:ascii="宋体" w:hAnsi="宋体" w:eastAsia="宋体" w:cs="宋体"/>
                <w:kern w:val="2"/>
                <w:lang w:val="en-US" w:eastAsia="zh-CN"/>
              </w:rPr>
            </w:pPr>
            <w:r>
              <w:rPr>
                <w:rFonts w:hint="eastAsia" w:ascii="宋体" w:hAnsi="宋体" w:cs="宋体"/>
                <w:kern w:val="2"/>
                <w:lang w:val="en-US" w:eastAsia="zh-CN"/>
              </w:rPr>
              <w:t>七、项目验收内容</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hint="eastAsia" w:ascii="宋体" w:hAnsi="宋体" w:cs="宋体"/>
                <w:color w:val="000000"/>
                <w:lang w:bidi="ar"/>
              </w:rPr>
            </w:pPr>
            <w:r>
              <w:rPr>
                <w:rFonts w:hint="eastAsia" w:ascii="宋体" w:hAnsi="宋体" w:cs="宋体"/>
                <w:color w:val="000000"/>
                <w:lang w:val="en-US" w:eastAsia="zh-CN" w:bidi="ar"/>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hint="eastAsia" w:ascii="宋体" w:hAnsi="宋体" w:eastAsia="宋体" w:cs="宋体"/>
                <w:kern w:val="2"/>
                <w:lang w:val="en-US" w:eastAsia="zh-CN"/>
              </w:rPr>
            </w:pPr>
            <w:r>
              <w:rPr>
                <w:rFonts w:hint="eastAsia" w:ascii="宋体" w:hAnsi="宋体" w:cs="宋体"/>
                <w:kern w:val="2"/>
                <w:lang w:val="en-US" w:eastAsia="zh-CN"/>
              </w:rPr>
              <w:t>7</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ind w:left="0" w:right="0" w:firstLine="0"/>
              <w:jc w:val="center"/>
              <w:rPr>
                <w:rFonts w:hint="default" w:ascii="宋体" w:hAnsi="宋体" w:cs="宋体"/>
                <w:kern w:val="2"/>
                <w:lang w:val="en-US" w:eastAsia="zh-CN"/>
              </w:rPr>
            </w:pPr>
            <w:r>
              <w:rPr>
                <w:rFonts w:hint="eastAsia" w:ascii="宋体" w:hAnsi="宋体" w:cs="宋体"/>
                <w:kern w:val="2"/>
                <w:lang w:val="en-US" w:eastAsia="zh-CN"/>
              </w:rPr>
              <w:t>八、承包方式</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hint="eastAsia" w:ascii="宋体" w:hAnsi="宋体" w:cs="宋体"/>
                <w:color w:val="000000"/>
                <w:lang w:bidi="ar"/>
              </w:rPr>
            </w:pPr>
            <w:r>
              <w:rPr>
                <w:rFonts w:hint="eastAsia" w:ascii="宋体" w:hAnsi="宋体" w:cs="宋体"/>
                <w:color w:val="000000"/>
                <w:lang w:val="en-US" w:eastAsia="zh-CN" w:bidi="ar"/>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jc w:val="center"/>
              <w:rPr>
                <w:rFonts w:hint="eastAsia" w:ascii="宋体" w:hAnsi="宋体" w:eastAsia="宋体" w:cs="宋体"/>
                <w:kern w:val="2"/>
                <w:lang w:val="en-US" w:eastAsia="zh-CN"/>
              </w:rPr>
            </w:pPr>
            <w:r>
              <w:rPr>
                <w:rFonts w:hint="eastAsia" w:ascii="宋体" w:hAnsi="宋体" w:cs="宋体"/>
                <w:kern w:val="2"/>
                <w:lang w:val="en-US" w:eastAsia="zh-CN"/>
              </w:rPr>
              <w:t>8</w:t>
            </w:r>
          </w:p>
        </w:tc>
        <w:tc>
          <w:tcPr>
            <w:tcW w:w="177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spacing w:line="240" w:lineRule="auto"/>
              <w:ind w:left="0" w:right="0" w:firstLine="0"/>
              <w:jc w:val="center"/>
              <w:rPr>
                <w:rFonts w:hint="default" w:ascii="宋体" w:hAnsi="宋体" w:cs="宋体"/>
                <w:kern w:val="2"/>
                <w:lang w:val="en-US" w:eastAsia="zh-CN"/>
              </w:rPr>
            </w:pPr>
            <w:r>
              <w:rPr>
                <w:rFonts w:hint="eastAsia" w:ascii="宋体" w:hAnsi="宋体" w:cs="宋体"/>
                <w:kern w:val="2"/>
                <w:lang w:val="en-US" w:eastAsia="zh-CN"/>
              </w:rPr>
              <w:t>九、其他责任</w:t>
            </w:r>
          </w:p>
        </w:tc>
        <w:tc>
          <w:tcPr>
            <w:tcW w:w="2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0" w:after="0" w:afterAutospacing="0" w:line="240" w:lineRule="auto"/>
              <w:ind w:left="0" w:right="0" w:firstLine="0"/>
              <w:jc w:val="center"/>
              <w:rPr>
                <w:rFonts w:hint="eastAsia" w:ascii="宋体" w:hAnsi="宋体" w:cs="宋体"/>
                <w:color w:val="000000"/>
                <w:lang w:bidi="ar"/>
              </w:rPr>
            </w:pPr>
            <w:r>
              <w:rPr>
                <w:rFonts w:hint="eastAsia" w:ascii="宋体" w:hAnsi="宋体" w:cs="宋体"/>
                <w:color w:val="000000"/>
                <w:lang w:val="en-US" w:eastAsia="zh-CN" w:bidi="ar"/>
              </w:rPr>
              <w:t>本章节全部内容</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adjustRightInd w:val="0"/>
              <w:jc w:val="center"/>
              <w:rPr>
                <w:rFonts w:cs="Arial"/>
                <w:kern w:val="2"/>
              </w:rPr>
            </w:pPr>
          </w:p>
        </w:tc>
        <w:tc>
          <w:tcPr>
            <w:tcW w:w="1177" w:type="dxa"/>
            <w:tcBorders>
              <w:top w:val="single" w:color="auto" w:sz="4" w:space="0"/>
              <w:left w:val="single" w:color="auto" w:sz="4" w:space="0"/>
              <w:bottom w:val="single" w:color="auto" w:sz="4" w:space="0"/>
              <w:right w:val="single" w:color="auto" w:sz="4" w:space="0"/>
              <w:tl2br w:val="nil"/>
              <w:tr2bl w:val="nil"/>
            </w:tcBorders>
          </w:tcPr>
          <w:p>
            <w:pPr>
              <w:widowControl w:val="0"/>
              <w:adjustRightInd w:val="0"/>
              <w:jc w:val="center"/>
              <w:rPr>
                <w:rFonts w:cs="Arial"/>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4" w:hRule="atLeast"/>
          <w:jc w:val="center"/>
        </w:trPr>
        <w:tc>
          <w:tcPr>
            <w:tcW w:w="8975"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val="0"/>
              <w:rPr>
                <w:rFonts w:cs="Arial"/>
                <w:kern w:val="2"/>
              </w:rPr>
            </w:pPr>
            <w:r>
              <w:rPr>
                <w:rFonts w:ascii="宋体" w:cs="Arial"/>
              </w:rPr>
              <w:t>我方确认：除了表中所列的条款外，我方的比选申请函将依从比选文件对于技术的全部要求和规定。</w:t>
            </w:r>
          </w:p>
        </w:tc>
      </w:tr>
    </w:tbl>
    <w:p>
      <w:pPr>
        <w:spacing w:before="0" w:after="0" w:afterAutospacing="0"/>
        <w:ind w:left="0" w:right="0" w:firstLine="0"/>
        <w:rPr>
          <w:rFonts w:ascii="宋体" w:hAnsi="宋体"/>
          <w:u w:val="single"/>
        </w:rPr>
      </w:pPr>
    </w:p>
    <w:p>
      <w:pPr>
        <w:snapToGrid w:val="0"/>
        <w:spacing w:after="50" w:line="280" w:lineRule="exact"/>
        <w:ind w:left="955" w:leftChars="455" w:right="-817" w:firstLine="2832" w:firstLineChars="1349"/>
        <w:rPr>
          <w:rFonts w:ascii="宋体" w:hAnsi="宋体"/>
          <w:u w:val="single"/>
        </w:rPr>
      </w:pPr>
      <w:r>
        <w:rPr>
          <w:rFonts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w:t>
      </w:r>
      <w:r>
        <w:rPr>
          <w:rFonts w:ascii="宋体" w:hAnsi="宋体"/>
        </w:rPr>
        <w:t xml:space="preserve">日  期：  </w:t>
      </w:r>
      <w:r>
        <w:rPr>
          <w:rFonts w:hint="eastAsia" w:ascii="宋体" w:hAnsi="宋体"/>
        </w:rPr>
        <w:t xml:space="preserve">  </w:t>
      </w:r>
      <w:r>
        <w:rPr>
          <w:rFonts w:ascii="宋体" w:hAnsi="宋体"/>
        </w:rPr>
        <w:t xml:space="preserve">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w:t>
      </w:r>
    </w:p>
    <w:p>
      <w:pPr>
        <w:spacing w:before="0" w:after="0" w:afterAutospacing="0"/>
        <w:ind w:left="708" w:right="0" w:hanging="708" w:hangingChars="336"/>
        <w:rPr>
          <w:rFonts w:ascii="宋体" w:hAnsi="宋体"/>
          <w:b/>
        </w:rPr>
      </w:pPr>
      <w:r>
        <w:rPr>
          <w:rFonts w:ascii="宋体" w:hAnsi="宋体"/>
          <w:b/>
        </w:rPr>
        <w:t>说明：</w:t>
      </w:r>
    </w:p>
    <w:p>
      <w:pPr>
        <w:tabs>
          <w:tab w:val="left" w:pos="720"/>
        </w:tabs>
        <w:spacing w:before="0" w:after="0" w:afterAutospacing="0"/>
        <w:ind w:left="0" w:right="0" w:firstLine="420" w:firstLineChars="200"/>
        <w:rPr>
          <w:rFonts w:ascii="宋体" w:hAnsi="宋体"/>
        </w:rPr>
      </w:pPr>
      <w:r>
        <w:rPr>
          <w:rFonts w:ascii="宋体" w:hAnsi="宋体"/>
        </w:rPr>
        <w:t>1.比选申请人必须对应根据比选文件的第五章用户需求书条款逐条应答并按要求填写上表。</w:t>
      </w:r>
    </w:p>
    <w:p>
      <w:pPr>
        <w:pStyle w:val="37"/>
        <w:tabs>
          <w:tab w:val="left" w:pos="720"/>
        </w:tabs>
        <w:spacing w:before="0" w:after="0" w:afterAutospacing="0"/>
        <w:ind w:left="0" w:right="0" w:firstLine="420" w:firstLineChars="200"/>
        <w:rPr>
          <w:rFonts w:ascii="宋体" w:hAnsi="宋体"/>
        </w:rPr>
      </w:pPr>
      <w:r>
        <w:rPr>
          <w:rFonts w:ascii="宋体" w:hAnsi="宋体"/>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rPr>
      </w:pPr>
      <w:r>
        <w:rPr>
          <w:rFonts w:ascii="宋体" w:hAnsi="宋体"/>
        </w:rPr>
        <w:t>3.正偏离是指应答的条件高于比选文件要求，负偏离是指应答的条件低于比选文件要求。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rPr>
      </w:pPr>
      <w:r>
        <w:rPr>
          <w:rFonts w:ascii="宋体" w:hAnsi="宋体"/>
        </w:rPr>
        <w:t>4.比选申请人须按照用户需求书逐条完整填写响应表。如果未完整填写响应表的各项内容则视作比选申请人已经对比选文件相关要求和内容完全理解并同意，其比选申请报价为在此基础上的完全价格。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rPr>
      </w:pPr>
      <w:r>
        <w:rPr>
          <w:rFonts w:ascii="宋体" w:hAnsi="宋体"/>
        </w:rPr>
        <w:t>5.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p>
    <w:p>
      <w:pPr>
        <w:tabs>
          <w:tab w:val="left" w:pos="720"/>
        </w:tabs>
        <w:spacing w:before="0" w:after="0" w:afterAutospacing="0"/>
        <w:ind w:left="0" w:right="0" w:firstLine="420" w:firstLineChars="200"/>
        <w:rPr>
          <w:rFonts w:ascii="宋体" w:hAnsi="宋体"/>
          <w:b/>
        </w:rPr>
      </w:pPr>
      <w:r>
        <w:rPr>
          <w:rFonts w:ascii="宋体" w:hAnsi="宋体"/>
        </w:rPr>
        <w:t>6.如有任意一项负偏离，比选申请人将不能通过符合性评审。</w:t>
      </w:r>
      <w:r>
        <w:rPr>
          <w:rFonts w:hint="eastAsia" w:ascii="宋体" w:hAnsi="宋体"/>
        </w:rPr>
        <w:br w:type="page"/>
      </w:r>
      <w:r>
        <w:rPr>
          <w:rFonts w:hint="eastAsia" w:ascii="宋体" w:hAnsi="宋体"/>
          <w:b/>
        </w:rPr>
        <w:t>C2</w:t>
      </w:r>
      <w:r>
        <w:rPr>
          <w:rFonts w:ascii="宋体" w:hAnsi="宋体"/>
          <w:b/>
        </w:rPr>
        <w:t>按期</w:t>
      </w:r>
      <w:r>
        <w:rPr>
          <w:rFonts w:hint="eastAsia" w:ascii="宋体" w:hAnsi="宋体"/>
          <w:b/>
        </w:rPr>
        <w:t>完成</w:t>
      </w:r>
      <w:r>
        <w:rPr>
          <w:rFonts w:ascii="宋体" w:hAnsi="宋体"/>
          <w:b/>
        </w:rPr>
        <w:t>承诺书</w:t>
      </w:r>
    </w:p>
    <w:p>
      <w:pPr>
        <w:widowControl w:val="0"/>
        <w:spacing w:before="240" w:beforeLines="100" w:after="240" w:afterLines="100"/>
        <w:ind w:right="-57" w:rightChars="-27"/>
        <w:jc w:val="center"/>
        <w:rPr>
          <w:b/>
          <w:kern w:val="2"/>
          <w:sz w:val="32"/>
          <w:szCs w:val="32"/>
        </w:rPr>
      </w:pPr>
      <w:r>
        <w:rPr>
          <w:rFonts w:hint="eastAsia" w:hAnsi="宋体"/>
          <w:b/>
          <w:kern w:val="2"/>
          <w:sz w:val="32"/>
          <w:szCs w:val="32"/>
        </w:rPr>
        <w:t>按期完成</w:t>
      </w:r>
      <w:r>
        <w:rPr>
          <w:rFonts w:hAnsi="宋体"/>
          <w:b/>
          <w:kern w:val="2"/>
          <w:sz w:val="32"/>
          <w:szCs w:val="32"/>
        </w:rPr>
        <w:t>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致：南宁轨道交通</w:t>
      </w:r>
      <w:r>
        <w:rPr>
          <w:rFonts w:hint="eastAsia" w:hAnsi="宋体"/>
          <w:kern w:val="2"/>
        </w:rPr>
        <w:t>运营有限公司</w:t>
      </w:r>
    </w:p>
    <w:p>
      <w:pPr>
        <w:widowControl w:val="0"/>
        <w:spacing w:beforeLines="50"/>
        <w:ind w:right="-57" w:rightChars="-27" w:firstLine="420" w:firstLineChars="200"/>
        <w:rPr>
          <w:kern w:val="2"/>
        </w:rPr>
      </w:pPr>
      <w:r>
        <w:rPr>
          <w:rFonts w:hAnsi="宋体"/>
          <w:kern w:val="2"/>
        </w:rPr>
        <w:t>本公司</w:t>
      </w:r>
      <w:r>
        <w:rPr>
          <w:rFonts w:hAnsi="宋体"/>
          <w:kern w:val="2"/>
          <w:u w:val="single"/>
        </w:rPr>
        <w:t>（比选申请人名称）</w:t>
      </w:r>
      <w:r>
        <w:rPr>
          <w:rFonts w:hAnsi="宋体"/>
          <w:kern w:val="2"/>
        </w:rPr>
        <w:t>参加了贵公司组织的</w:t>
      </w:r>
      <w:r>
        <w:rPr>
          <w:rFonts w:hint="eastAsia" w:hAnsi="宋体"/>
          <w:kern w:val="2"/>
          <w:u w:val="single"/>
        </w:rPr>
        <w:t xml:space="preserve">       </w:t>
      </w:r>
      <w:r>
        <w:rPr>
          <w:rFonts w:hAnsi="宋体"/>
          <w:kern w:val="2"/>
        </w:rPr>
        <w:t>项目（项目编号</w:t>
      </w:r>
      <w:r>
        <w:rPr>
          <w:rFonts w:hint="eastAsia" w:hAnsi="宋体"/>
          <w:kern w:val="2"/>
          <w:u w:val="single"/>
        </w:rPr>
        <w:t xml:space="preserve">     </w:t>
      </w:r>
      <w:r>
        <w:rPr>
          <w:rFonts w:hAnsi="宋体"/>
          <w:kern w:val="2"/>
        </w:rPr>
        <w:t>）的</w:t>
      </w:r>
      <w:r>
        <w:rPr>
          <w:rFonts w:hint="eastAsia" w:hAnsi="宋体"/>
          <w:kern w:val="2"/>
        </w:rPr>
        <w:t>比选</w:t>
      </w:r>
      <w:r>
        <w:rPr>
          <w:rFonts w:hAnsi="宋体"/>
          <w:kern w:val="2"/>
        </w:rPr>
        <w:t>。我公司在此承诺：我方保证</w:t>
      </w:r>
      <w:r>
        <w:rPr>
          <w:rFonts w:hint="eastAsia" w:hAnsi="宋体"/>
          <w:kern w:val="2"/>
        </w:rPr>
        <w:t>严格</w:t>
      </w:r>
      <w:r>
        <w:rPr>
          <w:rFonts w:hAnsi="宋体"/>
          <w:kern w:val="2"/>
        </w:rPr>
        <w:t>按比选文件和比选人的规定，满足规定的</w:t>
      </w:r>
      <w:r>
        <w:rPr>
          <w:rFonts w:hint="eastAsia" w:hAnsi="宋体"/>
          <w:kern w:val="2"/>
        </w:rPr>
        <w:t>合同工期</w:t>
      </w:r>
      <w:r>
        <w:rPr>
          <w:rFonts w:hAnsi="宋体"/>
          <w:kern w:val="2"/>
        </w:rPr>
        <w:t>要求。</w:t>
      </w:r>
      <w:r>
        <w:rPr>
          <w:kern w:val="2"/>
        </w:rPr>
        <w:t>如未按期</w:t>
      </w:r>
      <w:r>
        <w:rPr>
          <w:rFonts w:hint="eastAsia"/>
          <w:kern w:val="2"/>
        </w:rPr>
        <w:t>完成</w:t>
      </w:r>
      <w:r>
        <w:rPr>
          <w:kern w:val="2"/>
        </w:rPr>
        <w:t>，</w:t>
      </w:r>
      <w:r>
        <w:rPr>
          <w:rFonts w:hint="eastAsia"/>
          <w:kern w:val="2"/>
        </w:rPr>
        <w:t>我公司承诺接受</w:t>
      </w:r>
      <w:r>
        <w:rPr>
          <w:rFonts w:hint="eastAsia" w:ascii="宋体" w:hAnsi="宋体"/>
          <w:kern w:val="2"/>
        </w:rPr>
        <w:t>每天加收合同总价的万分之六的违约金</w:t>
      </w:r>
      <w:r>
        <w:rPr>
          <w:rFonts w:hint="eastAsia"/>
          <w:kern w:val="2"/>
        </w:rPr>
        <w:t>。</w:t>
      </w:r>
    </w:p>
    <w:p>
      <w:pPr>
        <w:widowControl w:val="0"/>
        <w:spacing w:beforeLines="50"/>
        <w:ind w:right="-57" w:rightChars="-27" w:firstLine="420" w:firstLineChars="200"/>
        <w:rPr>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napToGrid w:val="0"/>
        <w:spacing w:beforeLines="50" w:after="50" w:line="280" w:lineRule="exact"/>
        <w:ind w:left="955" w:leftChars="455" w:right="-817" w:rightChars="-389" w:firstLine="2013" w:firstLineChars="959"/>
        <w:rPr>
          <w:rFonts w:ascii="宋体" w:hAnsi="宋体"/>
          <w:kern w:val="2"/>
          <w:u w:val="single"/>
        </w:rPr>
      </w:pPr>
      <w:r>
        <w:rPr>
          <w:rFonts w:hint="eastAsia" w:ascii="宋体" w:hAnsi="宋体"/>
          <w:kern w:val="2"/>
        </w:rPr>
        <w:t>比选申请人名称（盖章）：</w:t>
      </w:r>
    </w:p>
    <w:p>
      <w:pPr>
        <w:widowControl w:val="0"/>
        <w:snapToGrid w:val="0"/>
        <w:spacing w:beforeLines="50" w:after="50" w:line="280" w:lineRule="exact"/>
        <w:ind w:left="0" w:right="-817" w:rightChars="-389" w:firstLine="2940" w:firstLineChars="1400"/>
        <w:rPr>
          <w:rFonts w:ascii="宋体" w:hAnsi="宋体"/>
          <w:kern w:val="2"/>
          <w:u w:val="single"/>
        </w:rPr>
      </w:pPr>
      <w:r>
        <w:rPr>
          <w:rFonts w:hint="eastAsia" w:ascii="宋体" w:hAnsi="宋体"/>
          <w:kern w:val="2"/>
        </w:rPr>
        <w:t xml:space="preserve"> 法定代表人或被授权人（签字）：</w:t>
      </w:r>
    </w:p>
    <w:p>
      <w:pPr>
        <w:tabs>
          <w:tab w:val="left" w:pos="567"/>
          <w:tab w:val="left" w:pos="720"/>
        </w:tabs>
        <w:snapToGrid w:val="0"/>
        <w:ind w:right="-57" w:firstLine="0"/>
        <w:jc w:val="center"/>
        <w:rPr>
          <w:rFonts w:ascii="宋体" w:hAnsi="宋体"/>
        </w:rPr>
        <w:sectPr>
          <w:pgSz w:w="11905" w:h="16838"/>
          <w:pgMar w:top="1418" w:right="1418" w:bottom="1304" w:left="1418" w:header="454" w:footer="567" w:gutter="0"/>
          <w:pgNumType w:fmt="decimal"/>
          <w:cols w:space="720" w:num="1"/>
          <w:docGrid w:linePitch="312" w:charSpace="0"/>
        </w:sectPr>
      </w:pPr>
      <w:r>
        <w:rPr>
          <w:rFonts w:hint="eastAsia" w:ascii="宋体" w:hAnsi="宋体"/>
          <w:kern w:val="2"/>
        </w:rPr>
        <w:t>日  期：   年  月  日</w:t>
      </w:r>
    </w:p>
    <w:p>
      <w:pPr>
        <w:pStyle w:val="6"/>
        <w:tabs>
          <w:tab w:val="left" w:pos="567"/>
          <w:tab w:val="left" w:pos="720"/>
        </w:tabs>
        <w:snapToGrid w:val="0"/>
        <w:ind w:left="0" w:right="-57" w:firstLine="0"/>
        <w:jc w:val="left"/>
        <w:rPr>
          <w:rFonts w:ascii="宋体" w:hAnsi="宋体"/>
          <w:sz w:val="21"/>
          <w:szCs w:val="21"/>
        </w:rPr>
      </w:pPr>
      <w:r>
        <w:rPr>
          <w:rFonts w:hint="eastAsia" w:ascii="宋体" w:hAnsi="宋体"/>
          <w:sz w:val="21"/>
          <w:szCs w:val="21"/>
        </w:rPr>
        <w:t>C3商务响应表</w:t>
      </w:r>
      <w:r>
        <w:rPr>
          <w:rFonts w:ascii="宋体" w:hAnsi="宋体"/>
          <w:sz w:val="21"/>
          <w:szCs w:val="21"/>
        </w:rPr>
        <w:t>格式</w:t>
      </w:r>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8"/>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 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第三章 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第五章 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w:t>
      </w:r>
      <w:r>
        <w:rPr>
          <w:rFonts w:hint="eastAsia" w:ascii="宋体" w:hAnsi="宋体"/>
        </w:rPr>
        <w:t>签字或盖章</w:t>
      </w:r>
      <w:r>
        <w:rPr>
          <w:rFonts w:ascii="宋体" w:hAnsi="宋体"/>
        </w:rPr>
        <w:t>）：</w:t>
      </w:r>
    </w:p>
    <w:p>
      <w:pPr>
        <w:spacing w:before="0"/>
        <w:ind w:right="-57" w:firstLine="0"/>
        <w:jc w:val="center"/>
        <w:rPr>
          <w:rFonts w:ascii="宋体" w:hAnsi="宋体"/>
        </w:rPr>
      </w:pPr>
      <w:r>
        <w:rPr>
          <w:rFonts w:hint="eastAsia" w:ascii="宋体" w:hAnsi="宋体"/>
        </w:rPr>
        <w:t xml:space="preserve">  日期：    年   月   日</w:t>
      </w:r>
    </w:p>
    <w:p>
      <w:pPr>
        <w:pStyle w:val="2"/>
        <w:sectPr>
          <w:pgSz w:w="11905" w:h="16838"/>
          <w:pgMar w:top="1417" w:right="1417" w:bottom="1417" w:left="1417" w:header="454" w:footer="567" w:gutter="0"/>
          <w:pgNumType w:fmt="decimal"/>
          <w:cols w:space="720" w:num="1"/>
          <w:docGrid w:linePitch="312" w:charSpace="0"/>
        </w:sectPr>
      </w:pPr>
    </w:p>
    <w:p>
      <w:pPr>
        <w:jc w:val="center"/>
        <w:outlineLvl w:val="0"/>
        <w:rPr>
          <w:rStyle w:val="42"/>
          <w:rFonts w:ascii="宋体" w:hAnsi="宋体" w:eastAsia="宋体"/>
        </w:rPr>
      </w:pPr>
      <w:bookmarkStart w:id="1273" w:name="_Toc492478835"/>
      <w:bookmarkStart w:id="1274" w:name="_Toc21321"/>
      <w:bookmarkStart w:id="1275" w:name="_Toc28535"/>
      <w:bookmarkStart w:id="1276" w:name="_Toc19138"/>
      <w:bookmarkStart w:id="1277" w:name="_Toc31681"/>
      <w:bookmarkStart w:id="1278" w:name="_Toc25750688"/>
      <w:bookmarkStart w:id="1279" w:name="_Toc5195"/>
      <w:bookmarkStart w:id="1280" w:name="_Toc328"/>
      <w:bookmarkStart w:id="1281" w:name="_Toc6337"/>
      <w:bookmarkStart w:id="1282" w:name="_Toc28135"/>
      <w:bookmarkStart w:id="1283" w:name="_Toc30897"/>
      <w:bookmarkStart w:id="1284" w:name="_Toc15815"/>
      <w:bookmarkStart w:id="1285" w:name="_Toc6454"/>
      <w:bookmarkStart w:id="1286" w:name="_Toc20298"/>
      <w:bookmarkStart w:id="1287" w:name="_Toc14566"/>
      <w:bookmarkStart w:id="1288" w:name="_Toc5010"/>
      <w:bookmarkStart w:id="1289" w:name="_Toc26409"/>
      <w:bookmarkStart w:id="1290" w:name="_Toc16754"/>
      <w:bookmarkStart w:id="1291" w:name="_Toc20475"/>
      <w:bookmarkStart w:id="1292" w:name="_Toc12695"/>
      <w:bookmarkStart w:id="1293" w:name="_Toc13941"/>
      <w:bookmarkStart w:id="1294" w:name="_Toc21951"/>
      <w:bookmarkStart w:id="1295" w:name="_Toc23183"/>
      <w:bookmarkStart w:id="1296" w:name="_Toc25061"/>
      <w:bookmarkStart w:id="1297" w:name="_Toc9597"/>
      <w:r>
        <w:rPr>
          <w:rStyle w:val="42"/>
          <w:rFonts w:hint="eastAsia" w:ascii="宋体" w:hAnsi="宋体" w:eastAsia="宋体"/>
        </w:rPr>
        <w:t>第五章用户需求书</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Start w:id="1298" w:name="_Toc4091"/>
      <w:bookmarkStart w:id="1299" w:name="_Toc15050599"/>
    </w:p>
    <w:p>
      <w:pPr>
        <w:pStyle w:val="73"/>
        <w:widowControl w:val="0"/>
        <w:pBdr>
          <w:left w:val="none" w:color="auto" w:sz="0" w:space="0"/>
          <w:bottom w:val="none" w:color="auto" w:sz="0" w:space="0"/>
        </w:pBdr>
        <w:spacing w:before="120" w:beforeLines="50" w:beforeAutospacing="0" w:after="120" w:afterLines="50" w:afterAutospacing="0" w:line="240" w:lineRule="atLeast"/>
        <w:ind w:right="-28"/>
        <w:jc w:val="both"/>
        <w:textAlignment w:val="auto"/>
        <w:outlineLvl w:val="1"/>
        <w:rPr>
          <w:rFonts w:hint="default" w:cs="宋体"/>
          <w:b w:val="0"/>
          <w:bCs w:val="0"/>
        </w:rPr>
      </w:pPr>
      <w:bookmarkStart w:id="1300" w:name="_Toc7217"/>
      <w:bookmarkStart w:id="1301" w:name="_Toc1939"/>
      <w:bookmarkStart w:id="1302" w:name="_Toc17971"/>
      <w:bookmarkStart w:id="1303" w:name="_Toc30754"/>
      <w:bookmarkStart w:id="1304" w:name="_Toc8429"/>
      <w:bookmarkStart w:id="1305" w:name="_Toc22955"/>
      <w:bookmarkStart w:id="1306" w:name="_Toc10936"/>
      <w:bookmarkStart w:id="1307" w:name="_Toc12836"/>
      <w:r>
        <w:rPr>
          <w:rFonts w:cs="宋体"/>
          <w:b w:val="0"/>
          <w:bCs w:val="0"/>
        </w:rPr>
        <w:t>一、项目背景</w:t>
      </w:r>
      <w:bookmarkEnd w:id="1300"/>
      <w:bookmarkEnd w:id="1301"/>
      <w:bookmarkEnd w:id="1302"/>
      <w:bookmarkEnd w:id="1303"/>
      <w:bookmarkEnd w:id="1304"/>
      <w:bookmarkEnd w:id="1305"/>
      <w:bookmarkEnd w:id="1306"/>
      <w:bookmarkEnd w:id="1307"/>
    </w:p>
    <w:p>
      <w:pPr>
        <w:ind w:left="0" w:right="0" w:firstLine="420" w:firstLineChars="200"/>
        <w:rPr>
          <w:rFonts w:ascii="宋体" w:hAnsi="宋体" w:cs="宋体"/>
          <w:color w:val="000000"/>
          <w:lang w:bidi="ar"/>
        </w:rPr>
      </w:pPr>
      <w:r>
        <w:rPr>
          <w:rFonts w:hint="eastAsia" w:ascii="宋体" w:hAnsi="宋体" w:cs="宋体"/>
          <w:color w:val="000000"/>
          <w:lang w:bidi="ar"/>
        </w:rPr>
        <w:t>根据电客车轴箱转臂定位橡胶关节、牵引拉杆橡胶关节、一系橡胶垫实际运用情况，为了进一步评估部件寿命和可靠性，合理确定上述部件架修方案，做好电客车架修成本管控工作，拟通过第三方专业机构对上述部件进行检测。</w:t>
      </w:r>
    </w:p>
    <w:p>
      <w:pPr>
        <w:pStyle w:val="73"/>
        <w:widowControl w:val="0"/>
        <w:pBdr>
          <w:left w:val="none" w:color="auto" w:sz="0" w:space="0"/>
          <w:bottom w:val="none" w:color="auto" w:sz="0" w:space="0"/>
        </w:pBdr>
        <w:spacing w:before="120" w:beforeLines="50" w:beforeAutospacing="0" w:after="120" w:afterLines="50" w:afterAutospacing="0" w:line="240" w:lineRule="atLeast"/>
        <w:ind w:right="-28"/>
        <w:jc w:val="both"/>
        <w:textAlignment w:val="auto"/>
        <w:outlineLvl w:val="1"/>
        <w:rPr>
          <w:rFonts w:hint="default" w:cs="宋体"/>
          <w:b w:val="0"/>
          <w:bCs w:val="0"/>
        </w:rPr>
      </w:pPr>
      <w:bookmarkStart w:id="1308" w:name="_Toc21002"/>
      <w:bookmarkStart w:id="1309" w:name="_Toc30819"/>
      <w:bookmarkStart w:id="1310" w:name="_Toc25425"/>
      <w:bookmarkStart w:id="1311" w:name="_Toc21263"/>
      <w:bookmarkStart w:id="1312" w:name="_Toc26803"/>
      <w:bookmarkStart w:id="1313" w:name="_Toc9676"/>
      <w:bookmarkStart w:id="1314" w:name="_Toc12269"/>
      <w:bookmarkStart w:id="1315" w:name="_Toc18630"/>
      <w:r>
        <w:rPr>
          <w:rFonts w:cs="宋体"/>
          <w:b w:val="0"/>
          <w:bCs w:val="0"/>
        </w:rPr>
        <w:t>二、项目名称</w:t>
      </w:r>
      <w:bookmarkEnd w:id="1308"/>
      <w:bookmarkEnd w:id="1309"/>
      <w:bookmarkEnd w:id="1310"/>
      <w:bookmarkEnd w:id="1311"/>
      <w:bookmarkEnd w:id="1312"/>
      <w:bookmarkEnd w:id="1313"/>
      <w:bookmarkEnd w:id="1314"/>
      <w:bookmarkEnd w:id="1315"/>
    </w:p>
    <w:p>
      <w:pPr>
        <w:ind w:left="0" w:right="0" w:firstLine="420" w:firstLineChars="200"/>
        <w:rPr>
          <w:rFonts w:ascii="宋体" w:hAnsi="宋体" w:cs="宋体"/>
          <w:color w:val="000000"/>
          <w:lang w:bidi="ar"/>
        </w:rPr>
      </w:pPr>
      <w:r>
        <w:rPr>
          <w:rFonts w:hint="eastAsia" w:ascii="宋体" w:hAnsi="宋体" w:cs="宋体"/>
          <w:color w:val="000000"/>
          <w:lang w:eastAsia="zh-CN" w:bidi="ar"/>
        </w:rPr>
        <w:t>南宁轨道交通2号线电客车转向架橡胶件委外检测项目（2022年-2023年）（重2）</w:t>
      </w:r>
      <w:r>
        <w:rPr>
          <w:rFonts w:hint="eastAsia" w:ascii="宋体" w:hAnsi="宋体" w:cs="宋体"/>
          <w:color w:val="000000"/>
          <w:lang w:bidi="ar"/>
        </w:rPr>
        <w:t>。</w:t>
      </w:r>
    </w:p>
    <w:p>
      <w:pPr>
        <w:pStyle w:val="73"/>
        <w:widowControl w:val="0"/>
        <w:pBdr>
          <w:left w:val="none" w:color="auto" w:sz="0" w:space="0"/>
          <w:bottom w:val="none" w:color="auto" w:sz="0" w:space="0"/>
        </w:pBdr>
        <w:spacing w:before="120" w:beforeLines="50" w:beforeAutospacing="0" w:after="120" w:afterLines="50" w:afterAutospacing="0" w:line="240" w:lineRule="atLeast"/>
        <w:ind w:right="-28"/>
        <w:jc w:val="both"/>
        <w:textAlignment w:val="auto"/>
        <w:outlineLvl w:val="1"/>
        <w:rPr>
          <w:rFonts w:hint="default" w:cs="宋体"/>
          <w:b w:val="0"/>
          <w:bCs w:val="0"/>
        </w:rPr>
      </w:pPr>
      <w:bookmarkStart w:id="1316" w:name="_Toc23903"/>
      <w:bookmarkStart w:id="1317" w:name="_Toc3816"/>
      <w:bookmarkStart w:id="1318" w:name="_Toc21377"/>
      <w:bookmarkStart w:id="1319" w:name="_Toc514947994"/>
      <w:bookmarkStart w:id="1320" w:name="_Toc9295"/>
      <w:bookmarkStart w:id="1321" w:name="_Toc2941"/>
      <w:bookmarkStart w:id="1322" w:name="_Toc3357"/>
      <w:bookmarkStart w:id="1323" w:name="_Toc20760"/>
      <w:bookmarkStart w:id="1324" w:name="_Toc1055"/>
      <w:r>
        <w:rPr>
          <w:rFonts w:cs="宋体"/>
          <w:b w:val="0"/>
          <w:bCs w:val="0"/>
        </w:rPr>
        <w:t>三、项目概况</w:t>
      </w:r>
      <w:bookmarkEnd w:id="1316"/>
      <w:bookmarkEnd w:id="1317"/>
      <w:bookmarkEnd w:id="1318"/>
      <w:bookmarkEnd w:id="1319"/>
      <w:bookmarkEnd w:id="1320"/>
      <w:bookmarkEnd w:id="1321"/>
      <w:bookmarkEnd w:id="1322"/>
      <w:bookmarkEnd w:id="1323"/>
      <w:bookmarkEnd w:id="1324"/>
    </w:p>
    <w:p>
      <w:pPr>
        <w:spacing w:beforeLines="50" w:after="120" w:afterLines="50"/>
        <w:ind w:right="-28"/>
        <w:rPr>
          <w:rFonts w:ascii="宋体" w:hAnsi="宋体"/>
          <w:b/>
          <w:bCs/>
        </w:rPr>
      </w:pPr>
      <w:bookmarkStart w:id="1325" w:name="_Toc889"/>
      <w:bookmarkStart w:id="1326" w:name="_Toc19216"/>
      <w:bookmarkStart w:id="1327" w:name="_Toc3044"/>
      <w:bookmarkStart w:id="1328" w:name="_Toc11524"/>
      <w:bookmarkStart w:id="1329" w:name="_Toc27731"/>
      <w:r>
        <w:rPr>
          <w:rFonts w:hint="eastAsia" w:ascii="宋体" w:hAnsi="宋体"/>
          <w:b/>
          <w:bCs/>
        </w:rPr>
        <w:t>1、项目实施地点</w:t>
      </w:r>
      <w:bookmarkEnd w:id="1325"/>
      <w:bookmarkEnd w:id="1326"/>
      <w:bookmarkEnd w:id="1327"/>
      <w:bookmarkEnd w:id="1328"/>
      <w:bookmarkEnd w:id="1329"/>
    </w:p>
    <w:p>
      <w:pPr>
        <w:ind w:left="0" w:right="0" w:firstLine="420" w:firstLineChars="200"/>
        <w:rPr>
          <w:rFonts w:ascii="宋体" w:hAnsi="宋体" w:cs="宋体"/>
          <w:color w:val="000000"/>
          <w:lang w:bidi="ar"/>
        </w:rPr>
      </w:pPr>
      <w:r>
        <w:rPr>
          <w:rFonts w:hint="eastAsia" w:ascii="宋体" w:hAnsi="宋体" w:cs="宋体"/>
          <w:color w:val="000000"/>
          <w:lang w:bidi="ar"/>
        </w:rPr>
        <w:t>承包人正常开展项目工作的地点。</w:t>
      </w:r>
    </w:p>
    <w:p>
      <w:pPr>
        <w:spacing w:beforeLines="50" w:after="120" w:afterLines="50"/>
        <w:ind w:right="-28"/>
        <w:rPr>
          <w:rFonts w:ascii="宋体" w:hAnsi="宋体"/>
          <w:b/>
          <w:bCs/>
        </w:rPr>
      </w:pPr>
      <w:bookmarkStart w:id="1330" w:name="_Toc8929"/>
      <w:bookmarkStart w:id="1331" w:name="_Toc24586"/>
      <w:bookmarkStart w:id="1332" w:name="_Toc17225"/>
      <w:bookmarkStart w:id="1333" w:name="_Toc6685"/>
      <w:bookmarkStart w:id="1334" w:name="_Toc15350"/>
      <w:r>
        <w:rPr>
          <w:rFonts w:hint="eastAsia" w:ascii="宋体" w:hAnsi="宋体"/>
          <w:b/>
          <w:bCs/>
        </w:rPr>
        <w:t>2、项目周期</w:t>
      </w:r>
      <w:bookmarkEnd w:id="1330"/>
      <w:bookmarkEnd w:id="1331"/>
      <w:bookmarkEnd w:id="1332"/>
      <w:bookmarkEnd w:id="1333"/>
      <w:bookmarkEnd w:id="1334"/>
    </w:p>
    <w:p>
      <w:pPr>
        <w:ind w:left="0" w:right="0" w:firstLine="420" w:firstLineChars="200"/>
        <w:rPr>
          <w:rFonts w:ascii="宋体" w:hAnsi="宋体" w:cs="宋体"/>
          <w:color w:val="000000"/>
          <w:lang w:bidi="ar"/>
        </w:rPr>
      </w:pPr>
      <w:r>
        <w:rPr>
          <w:rFonts w:hint="eastAsia" w:ascii="宋体" w:hAnsi="宋体" w:cs="宋体"/>
          <w:color w:val="000000"/>
          <w:lang w:bidi="ar"/>
        </w:rPr>
        <w:t>项目合同签订后6个月内（含提交成果报告）。</w:t>
      </w:r>
    </w:p>
    <w:p>
      <w:pPr>
        <w:spacing w:beforeLines="50" w:after="120" w:afterLines="50"/>
        <w:ind w:right="-28"/>
        <w:rPr>
          <w:rFonts w:ascii="宋体" w:hAnsi="宋体"/>
          <w:b/>
          <w:bCs/>
        </w:rPr>
      </w:pPr>
      <w:bookmarkStart w:id="1335" w:name="_Toc23125"/>
      <w:bookmarkStart w:id="1336" w:name="_Toc3886"/>
      <w:bookmarkStart w:id="1337" w:name="_Toc12840"/>
      <w:bookmarkStart w:id="1338" w:name="_Toc14113"/>
      <w:bookmarkStart w:id="1339" w:name="_Toc29946"/>
      <w:r>
        <w:rPr>
          <w:rFonts w:hint="eastAsia" w:ascii="宋体" w:hAnsi="宋体"/>
          <w:b/>
          <w:bCs/>
        </w:rPr>
        <w:t>3、项目内容</w:t>
      </w:r>
      <w:bookmarkEnd w:id="1335"/>
      <w:bookmarkEnd w:id="1336"/>
      <w:bookmarkEnd w:id="1337"/>
      <w:bookmarkEnd w:id="1338"/>
      <w:bookmarkEnd w:id="1339"/>
    </w:p>
    <w:p>
      <w:pPr>
        <w:ind w:left="0" w:right="0" w:firstLine="420" w:firstLineChars="200"/>
        <w:rPr>
          <w:rFonts w:ascii="宋体" w:hAnsi="宋体" w:cs="宋体"/>
          <w:color w:val="000000"/>
          <w:lang w:bidi="ar"/>
        </w:rPr>
      </w:pPr>
      <w:bookmarkStart w:id="1340" w:name="_Toc514947995"/>
      <w:bookmarkStart w:id="1341" w:name="_Toc414518797"/>
      <w:r>
        <w:rPr>
          <w:rFonts w:hint="eastAsia" w:ascii="宋体" w:hAnsi="宋体" w:cs="宋体"/>
          <w:color w:val="000000"/>
          <w:lang w:bidi="ar"/>
        </w:rPr>
        <w:t>由承包人对发包人指定部件进行检测与寿命评估，具体包括：</w:t>
      </w:r>
    </w:p>
    <w:p>
      <w:pPr>
        <w:ind w:left="0" w:right="0" w:firstLine="420" w:firstLineChars="200"/>
        <w:rPr>
          <w:rFonts w:ascii="宋体" w:hAnsi="宋体" w:cs="宋体"/>
          <w:color w:val="000000"/>
          <w:lang w:bidi="ar"/>
        </w:rPr>
      </w:pPr>
      <w:r>
        <w:rPr>
          <w:rFonts w:hint="eastAsia" w:ascii="宋体" w:hAnsi="宋体" w:cs="宋体"/>
          <w:color w:val="000000"/>
          <w:lang w:bidi="ar"/>
        </w:rPr>
        <w:t>1）评估部件性能指标是否满足服役要求；</w:t>
      </w:r>
    </w:p>
    <w:p>
      <w:pPr>
        <w:ind w:left="0" w:right="0" w:firstLine="420" w:firstLineChars="200"/>
        <w:rPr>
          <w:rFonts w:ascii="宋体" w:hAnsi="宋体" w:cs="宋体"/>
          <w:color w:val="000000"/>
          <w:lang w:bidi="ar"/>
        </w:rPr>
      </w:pPr>
      <w:r>
        <w:rPr>
          <w:rFonts w:hint="eastAsia" w:ascii="宋体" w:hAnsi="宋体" w:cs="宋体"/>
          <w:color w:val="000000"/>
          <w:lang w:bidi="ar"/>
        </w:rPr>
        <w:t>2）评估部件薄弱环节和剩余寿命，包括主要失效模式；</w:t>
      </w:r>
    </w:p>
    <w:p>
      <w:pPr>
        <w:spacing w:beforeLines="50" w:after="120" w:afterLines="50" w:afterAutospacing="0"/>
        <w:ind w:left="0" w:right="0" w:firstLine="420" w:firstLineChars="200"/>
        <w:outlineLvl w:val="0"/>
        <w:rPr>
          <w:rFonts w:ascii="宋体" w:hAnsi="宋体" w:cs="宋体"/>
          <w:color w:val="000000"/>
          <w:lang w:bidi="ar"/>
        </w:rPr>
      </w:pPr>
      <w:bookmarkStart w:id="1342" w:name="_Toc9203"/>
      <w:bookmarkStart w:id="1343" w:name="_Toc18542"/>
      <w:bookmarkStart w:id="1344" w:name="_Toc14040"/>
      <w:bookmarkStart w:id="1345" w:name="_Toc22819"/>
      <w:bookmarkStart w:id="1346" w:name="_Toc19844"/>
      <w:bookmarkStart w:id="1347" w:name="_Toc25136"/>
      <w:bookmarkStart w:id="1348" w:name="_Toc15119"/>
      <w:bookmarkStart w:id="1349" w:name="_Toc24300"/>
      <w:r>
        <w:rPr>
          <w:rFonts w:hint="eastAsia" w:ascii="宋体" w:hAnsi="宋体" w:cs="宋体"/>
          <w:color w:val="000000"/>
          <w:lang w:bidi="ar"/>
        </w:rPr>
        <w:t>3）提供后续维修建议及相关报告（报告结论需按照附件要求编写；并含所有过程检测记录、成果报告等）。</w:t>
      </w:r>
      <w:bookmarkEnd w:id="1342"/>
    </w:p>
    <w:p>
      <w:pPr>
        <w:pStyle w:val="73"/>
        <w:widowControl w:val="0"/>
        <w:pBdr>
          <w:left w:val="none" w:color="auto" w:sz="0" w:space="0"/>
          <w:bottom w:val="none" w:color="auto" w:sz="0" w:space="0"/>
        </w:pBdr>
        <w:spacing w:before="120" w:beforeLines="50" w:beforeAutospacing="0" w:after="120" w:afterLines="50" w:afterAutospacing="0" w:line="240" w:lineRule="atLeast"/>
        <w:ind w:right="-28"/>
        <w:jc w:val="both"/>
        <w:textAlignment w:val="auto"/>
        <w:outlineLvl w:val="1"/>
        <w:rPr>
          <w:rFonts w:hint="default" w:cs="宋体"/>
          <w:b w:val="0"/>
          <w:bCs w:val="0"/>
        </w:rPr>
      </w:pPr>
      <w:bookmarkStart w:id="1350" w:name="_Toc32291"/>
      <w:r>
        <w:rPr>
          <w:rFonts w:cs="宋体"/>
          <w:b w:val="0"/>
          <w:bCs w:val="0"/>
        </w:rPr>
        <w:t>四、项目</w:t>
      </w:r>
      <w:bookmarkEnd w:id="1340"/>
      <w:bookmarkEnd w:id="1341"/>
      <w:r>
        <w:rPr>
          <w:rFonts w:cs="宋体"/>
          <w:b w:val="0"/>
          <w:bCs w:val="0"/>
        </w:rPr>
        <w:t>要求</w:t>
      </w:r>
      <w:bookmarkEnd w:id="1343"/>
      <w:bookmarkEnd w:id="1344"/>
      <w:bookmarkEnd w:id="1345"/>
      <w:bookmarkEnd w:id="1346"/>
      <w:bookmarkEnd w:id="1347"/>
      <w:bookmarkEnd w:id="1348"/>
      <w:bookmarkEnd w:id="1349"/>
      <w:bookmarkEnd w:id="1350"/>
    </w:p>
    <w:p>
      <w:pPr>
        <w:spacing w:beforeLines="50" w:after="120" w:afterLines="50"/>
        <w:ind w:right="-28"/>
        <w:rPr>
          <w:rFonts w:ascii="宋体" w:hAnsi="宋体"/>
          <w:b/>
          <w:bCs/>
        </w:rPr>
      </w:pPr>
      <w:bookmarkStart w:id="1351" w:name="_Toc25767"/>
      <w:bookmarkStart w:id="1352" w:name="_Toc5409"/>
      <w:bookmarkStart w:id="1353" w:name="_Toc3906"/>
      <w:bookmarkStart w:id="1354" w:name="_Toc2012"/>
      <w:bookmarkStart w:id="1355" w:name="_Toc25218"/>
      <w:r>
        <w:rPr>
          <w:rFonts w:hint="eastAsia" w:ascii="宋体" w:hAnsi="宋体"/>
          <w:b/>
          <w:bCs/>
        </w:rPr>
        <w:t>1、检测样品数量</w:t>
      </w:r>
      <w:bookmarkEnd w:id="1351"/>
      <w:bookmarkEnd w:id="1352"/>
      <w:bookmarkEnd w:id="1353"/>
      <w:bookmarkEnd w:id="1354"/>
      <w:bookmarkEnd w:id="1355"/>
    </w:p>
    <w:p>
      <w:pPr>
        <w:ind w:left="0" w:right="0" w:firstLine="420" w:firstLineChars="200"/>
        <w:rPr>
          <w:rFonts w:ascii="宋体" w:hAnsi="宋体" w:cs="宋体"/>
          <w:color w:val="000000"/>
          <w:lang w:bidi="ar"/>
        </w:rPr>
      </w:pPr>
      <w:r>
        <w:rPr>
          <w:rFonts w:hint="eastAsia" w:ascii="宋体" w:hAnsi="宋体" w:cs="宋体"/>
          <w:color w:val="000000"/>
          <w:lang w:bidi="ar"/>
        </w:rPr>
        <w:t>每类部件包含新件样品1件和使用5年以上的样品3件，共计12件样品。其样品组成如表1所示，部件试样由发包人提供。</w:t>
      </w:r>
    </w:p>
    <w:p>
      <w:pPr>
        <w:pStyle w:val="25"/>
        <w:spacing w:before="120" w:beforeLines="50" w:beforeAutospacing="0" w:after="120" w:afterLines="50" w:afterAutospacing="0" w:line="315" w:lineRule="atLeast"/>
        <w:ind w:left="0" w:firstLine="0"/>
        <w:jc w:val="center"/>
        <w:rPr>
          <w:rFonts w:cs="宋体"/>
          <w:color w:val="000000"/>
          <w:sz w:val="18"/>
          <w:szCs w:val="18"/>
          <w:lang w:bidi="ar"/>
        </w:rPr>
      </w:pPr>
    </w:p>
    <w:p>
      <w:pPr>
        <w:pStyle w:val="25"/>
        <w:spacing w:before="120" w:beforeLines="50" w:beforeAutospacing="0" w:after="120" w:afterLines="50" w:afterAutospacing="0" w:line="315" w:lineRule="atLeast"/>
        <w:jc w:val="center"/>
        <w:rPr>
          <w:rFonts w:cs="宋体"/>
          <w:color w:val="000000"/>
          <w:sz w:val="18"/>
          <w:szCs w:val="18"/>
          <w:lang w:bidi="ar"/>
        </w:rPr>
      </w:pPr>
      <w:r>
        <w:rPr>
          <w:rFonts w:hint="eastAsia" w:cs="宋体"/>
          <w:color w:val="000000"/>
          <w:sz w:val="18"/>
          <w:szCs w:val="18"/>
          <w:lang w:bidi="ar"/>
        </w:rPr>
        <w:t>表1：部件检测样品组成</w:t>
      </w:r>
    </w:p>
    <w:tbl>
      <w:tblPr>
        <w:tblStyle w:val="28"/>
        <w:tblW w:w="856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169"/>
        <w:gridCol w:w="2776"/>
        <w:gridCol w:w="1864"/>
        <w:gridCol w:w="27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5" w:hRule="atLeast"/>
        </w:trPr>
        <w:tc>
          <w:tcPr>
            <w:tcW w:w="11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序号</w:t>
            </w:r>
          </w:p>
        </w:tc>
        <w:tc>
          <w:tcPr>
            <w:tcW w:w="277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产品名称</w:t>
            </w:r>
          </w:p>
        </w:tc>
        <w:tc>
          <w:tcPr>
            <w:tcW w:w="186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新件数量</w:t>
            </w:r>
          </w:p>
        </w:tc>
        <w:tc>
          <w:tcPr>
            <w:tcW w:w="275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旧件数量（5年以上）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5" w:hRule="atLeast"/>
        </w:trPr>
        <w:tc>
          <w:tcPr>
            <w:tcW w:w="116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1</w:t>
            </w:r>
          </w:p>
        </w:tc>
        <w:tc>
          <w:tcPr>
            <w:tcW w:w="2776"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牵引橡胶关节</w:t>
            </w:r>
          </w:p>
        </w:tc>
        <w:tc>
          <w:tcPr>
            <w:tcW w:w="1864"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1件</w:t>
            </w:r>
          </w:p>
        </w:tc>
        <w:tc>
          <w:tcPr>
            <w:tcW w:w="2751"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3件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5" w:hRule="atLeast"/>
        </w:trPr>
        <w:tc>
          <w:tcPr>
            <w:tcW w:w="116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2</w:t>
            </w:r>
          </w:p>
        </w:tc>
        <w:tc>
          <w:tcPr>
            <w:tcW w:w="2776"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一系橡胶垫</w:t>
            </w:r>
          </w:p>
        </w:tc>
        <w:tc>
          <w:tcPr>
            <w:tcW w:w="1864"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1件</w:t>
            </w:r>
          </w:p>
        </w:tc>
        <w:tc>
          <w:tcPr>
            <w:tcW w:w="2751"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3件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55" w:hRule="atLeast"/>
        </w:trPr>
        <w:tc>
          <w:tcPr>
            <w:tcW w:w="116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3</w:t>
            </w:r>
          </w:p>
        </w:tc>
        <w:tc>
          <w:tcPr>
            <w:tcW w:w="2776"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转臂定位橡胶关节</w:t>
            </w:r>
          </w:p>
        </w:tc>
        <w:tc>
          <w:tcPr>
            <w:tcW w:w="1864"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1件</w:t>
            </w:r>
          </w:p>
        </w:tc>
        <w:tc>
          <w:tcPr>
            <w:tcW w:w="2751" w:type="dxa"/>
            <w:tcBorders>
              <w:top w:val="nil"/>
              <w:left w:val="nil"/>
              <w:bottom w:val="single" w:color="auto" w:sz="8" w:space="0"/>
              <w:right w:val="single" w:color="auto" w:sz="8" w:space="0"/>
            </w:tcBorders>
            <w:tcMar>
              <w:top w:w="0" w:type="dxa"/>
              <w:left w:w="108" w:type="dxa"/>
              <w:bottom w:w="0" w:type="dxa"/>
              <w:right w:w="108" w:type="dxa"/>
            </w:tcMar>
          </w:tcPr>
          <w:p>
            <w:pPr>
              <w:spacing w:beforeLines="50" w:after="120" w:afterLines="50" w:line="315" w:lineRule="atLeast"/>
              <w:jc w:val="center"/>
              <w:rPr>
                <w:rFonts w:ascii="宋体" w:hAnsi="宋体" w:cs="宋体"/>
                <w:color w:val="000000"/>
                <w:sz w:val="18"/>
                <w:szCs w:val="18"/>
                <w:lang w:bidi="ar"/>
              </w:rPr>
            </w:pPr>
            <w:r>
              <w:rPr>
                <w:rFonts w:hint="eastAsia" w:ascii="宋体" w:hAnsi="宋体" w:cs="宋体"/>
                <w:color w:val="000000"/>
                <w:sz w:val="18"/>
                <w:szCs w:val="18"/>
                <w:lang w:bidi="ar"/>
              </w:rPr>
              <w:t>3件</w:t>
            </w:r>
          </w:p>
        </w:tc>
      </w:tr>
    </w:tbl>
    <w:p>
      <w:pPr>
        <w:spacing w:beforeLines="50" w:after="120" w:afterLines="50"/>
        <w:ind w:right="-28"/>
        <w:rPr>
          <w:rFonts w:ascii="宋体" w:hAnsi="宋体"/>
          <w:b/>
          <w:bCs/>
        </w:rPr>
      </w:pPr>
      <w:bookmarkStart w:id="1356" w:name="_Toc16897"/>
      <w:bookmarkStart w:id="1357" w:name="_Toc28238"/>
      <w:bookmarkStart w:id="1358" w:name="_Toc2914"/>
      <w:bookmarkStart w:id="1359" w:name="_Toc29156"/>
      <w:bookmarkStart w:id="1360" w:name="_Toc12387"/>
      <w:r>
        <w:rPr>
          <w:rFonts w:hint="eastAsia" w:ascii="宋体" w:hAnsi="宋体"/>
          <w:b/>
          <w:bCs/>
        </w:rPr>
        <w:t>2、参考标准及文件</w:t>
      </w:r>
      <w:bookmarkEnd w:id="1356"/>
      <w:bookmarkEnd w:id="1357"/>
      <w:bookmarkEnd w:id="1358"/>
      <w:bookmarkEnd w:id="1359"/>
      <w:bookmarkEnd w:id="1360"/>
    </w:p>
    <w:p>
      <w:pPr>
        <w:ind w:left="0" w:right="0" w:firstLine="420" w:firstLineChars="200"/>
        <w:rPr>
          <w:rFonts w:ascii="宋体" w:hAnsi="宋体" w:cs="宋体"/>
          <w:color w:val="000000"/>
          <w:lang w:bidi="ar"/>
        </w:rPr>
      </w:pPr>
      <w:r>
        <w:rPr>
          <w:rFonts w:hint="eastAsia" w:ascii="宋体" w:hAnsi="宋体" w:cs="宋体"/>
          <w:color w:val="000000"/>
          <w:lang w:bidi="ar"/>
        </w:rPr>
        <w:t>TB/T 2843-2015 《机车车辆用橡胶弹性元件通用技术条件》</w:t>
      </w:r>
    </w:p>
    <w:p>
      <w:pPr>
        <w:ind w:left="0" w:right="0" w:firstLine="420" w:firstLineChars="200"/>
        <w:rPr>
          <w:rFonts w:ascii="宋体" w:hAnsi="宋体" w:cs="宋体"/>
          <w:color w:val="000000"/>
          <w:lang w:bidi="ar"/>
        </w:rPr>
      </w:pPr>
      <w:r>
        <w:rPr>
          <w:rFonts w:hint="eastAsia" w:ascii="宋体" w:hAnsi="宋体" w:cs="宋体"/>
          <w:color w:val="000000"/>
          <w:lang w:bidi="ar"/>
        </w:rPr>
        <w:t>GB/T 34986-2017 《产品加速试验方法》</w:t>
      </w:r>
    </w:p>
    <w:p>
      <w:pPr>
        <w:ind w:left="0" w:right="0" w:firstLine="420" w:firstLineChars="200"/>
        <w:rPr>
          <w:rFonts w:ascii="宋体" w:hAnsi="宋体" w:cs="宋体"/>
          <w:color w:val="000000"/>
          <w:lang w:bidi="ar"/>
        </w:rPr>
      </w:pPr>
      <w:r>
        <w:rPr>
          <w:rFonts w:hint="eastAsia" w:ascii="宋体" w:hAnsi="宋体" w:cs="宋体"/>
          <w:color w:val="000000"/>
          <w:lang w:bidi="ar"/>
        </w:rPr>
        <w:t>GB5599-85 《铁道车辆动力学性能评定和试验鉴定规范》</w:t>
      </w:r>
    </w:p>
    <w:p>
      <w:pPr>
        <w:ind w:left="0" w:right="0" w:firstLine="420" w:firstLineChars="200"/>
        <w:rPr>
          <w:rFonts w:ascii="宋体" w:hAnsi="宋体" w:cs="宋体"/>
          <w:color w:val="000000"/>
          <w:lang w:bidi="ar"/>
        </w:rPr>
      </w:pPr>
      <w:r>
        <w:rPr>
          <w:rFonts w:hint="eastAsia" w:ascii="宋体" w:hAnsi="宋体" w:cs="宋体"/>
          <w:color w:val="000000"/>
          <w:lang w:bidi="ar"/>
        </w:rPr>
        <w:t>TB/T 3115-2005 《机车车辆动力学性能台架试验》</w:t>
      </w:r>
    </w:p>
    <w:p>
      <w:pPr>
        <w:ind w:left="0" w:right="0" w:firstLine="420" w:firstLineChars="200"/>
        <w:rPr>
          <w:rFonts w:ascii="宋体" w:hAnsi="宋体" w:cs="宋体"/>
          <w:color w:val="000000"/>
          <w:lang w:bidi="ar"/>
        </w:rPr>
      </w:pPr>
      <w:r>
        <w:rPr>
          <w:rFonts w:hint="eastAsia" w:ascii="宋体" w:hAnsi="宋体" w:cs="宋体"/>
          <w:color w:val="000000"/>
          <w:lang w:bidi="ar"/>
        </w:rPr>
        <w:t>GB/T 3075-2008 《金属材料疲劳试验轴向力控制方法》</w:t>
      </w:r>
    </w:p>
    <w:p>
      <w:pPr>
        <w:ind w:left="0" w:right="0" w:firstLine="420" w:firstLineChars="200"/>
        <w:rPr>
          <w:rFonts w:ascii="宋体" w:hAnsi="宋体" w:cs="宋体"/>
          <w:color w:val="000000"/>
          <w:lang w:bidi="ar"/>
        </w:rPr>
      </w:pPr>
      <w:r>
        <w:rPr>
          <w:rFonts w:hint="eastAsia" w:ascii="宋体" w:hAnsi="宋体" w:cs="宋体"/>
          <w:color w:val="000000"/>
          <w:lang w:bidi="ar"/>
        </w:rPr>
        <w:t>GB/T 24176-2009 《金属材料疲劳试验数据统计方案与分析方法》</w:t>
      </w:r>
    </w:p>
    <w:p>
      <w:pPr>
        <w:spacing w:beforeLines="50" w:after="120" w:afterLines="50"/>
        <w:ind w:right="-28"/>
        <w:rPr>
          <w:rFonts w:ascii="宋体" w:hAnsi="宋体"/>
          <w:b/>
          <w:bCs/>
        </w:rPr>
      </w:pPr>
      <w:bookmarkStart w:id="1361" w:name="_Toc628"/>
      <w:bookmarkStart w:id="1362" w:name="_Toc4372"/>
      <w:bookmarkStart w:id="1363" w:name="_Toc25590"/>
      <w:bookmarkStart w:id="1364" w:name="_Toc3325"/>
      <w:r>
        <w:rPr>
          <w:rFonts w:hint="eastAsia" w:ascii="宋体" w:hAnsi="宋体"/>
          <w:b/>
          <w:bCs/>
        </w:rPr>
        <w:t>3、试验方案</w:t>
      </w:r>
      <w:bookmarkEnd w:id="1361"/>
      <w:bookmarkEnd w:id="1362"/>
      <w:bookmarkEnd w:id="1363"/>
      <w:bookmarkEnd w:id="1364"/>
    </w:p>
    <w:p>
      <w:pPr>
        <w:spacing w:beforeLines="50" w:after="120" w:afterLines="50"/>
        <w:ind w:right="-28"/>
        <w:rPr>
          <w:rFonts w:ascii="宋体" w:hAnsi="宋体"/>
          <w:b/>
          <w:bCs/>
        </w:rPr>
      </w:pPr>
      <w:bookmarkStart w:id="1365" w:name="_Toc22414"/>
      <w:bookmarkStart w:id="1366" w:name="_Toc29689"/>
      <w:r>
        <w:rPr>
          <w:rFonts w:hint="eastAsia" w:ascii="宋体" w:hAnsi="宋体"/>
          <w:b/>
          <w:bCs/>
        </w:rPr>
        <w:t>3.1主要内容</w:t>
      </w:r>
      <w:bookmarkEnd w:id="1365"/>
      <w:bookmarkEnd w:id="1366"/>
    </w:p>
    <w:p>
      <w:pPr>
        <w:ind w:left="0" w:right="0" w:firstLine="420" w:firstLineChars="200"/>
        <w:rPr>
          <w:rFonts w:ascii="宋体" w:hAnsi="宋体" w:cs="宋体"/>
          <w:color w:val="000000"/>
          <w:lang w:bidi="ar"/>
        </w:rPr>
      </w:pPr>
      <w:r>
        <w:rPr>
          <w:rFonts w:hint="eastAsia" w:ascii="宋体" w:hAnsi="宋体" w:cs="宋体"/>
          <w:color w:val="000000"/>
          <w:lang w:bidi="ar"/>
        </w:rPr>
        <w:t>试验主要内容包含但不限于对牵引橡胶关节、一系橡胶垫、转臂定位橡胶关节样件的外观及尺寸检查，承载方向动态、静态刚度、阻尼测试，裂纹及有限元仿真分析等。</w:t>
      </w:r>
    </w:p>
    <w:p>
      <w:pPr>
        <w:spacing w:beforeLines="50" w:after="120" w:afterLines="50"/>
        <w:ind w:right="-28"/>
        <w:rPr>
          <w:rFonts w:ascii="宋体" w:hAnsi="宋体"/>
          <w:b/>
          <w:bCs/>
        </w:rPr>
      </w:pPr>
      <w:bookmarkStart w:id="1367" w:name="_Toc32125"/>
      <w:bookmarkStart w:id="1368" w:name="_Toc27949"/>
      <w:r>
        <w:rPr>
          <w:rFonts w:hint="eastAsia" w:ascii="宋体" w:hAnsi="宋体"/>
          <w:b/>
          <w:bCs/>
        </w:rPr>
        <w:t>3.2外观检查</w:t>
      </w:r>
      <w:bookmarkEnd w:id="1367"/>
      <w:bookmarkEnd w:id="1368"/>
    </w:p>
    <w:p>
      <w:pPr>
        <w:ind w:left="0" w:right="0" w:firstLine="420" w:firstLineChars="200"/>
        <w:rPr>
          <w:rFonts w:ascii="宋体" w:hAnsi="宋体" w:cs="宋体"/>
          <w:color w:val="000000"/>
          <w:lang w:bidi="ar"/>
        </w:rPr>
      </w:pPr>
      <w:r>
        <w:rPr>
          <w:rFonts w:hint="eastAsia" w:ascii="宋体" w:hAnsi="宋体" w:cs="宋体"/>
          <w:color w:val="000000"/>
          <w:lang w:bidi="ar"/>
        </w:rPr>
        <w:t>外观检查包含但不限于以下内容：</w:t>
      </w:r>
    </w:p>
    <w:p>
      <w:pPr>
        <w:ind w:left="0" w:right="0" w:firstLine="420" w:firstLineChars="200"/>
        <w:rPr>
          <w:rFonts w:ascii="宋体" w:hAnsi="宋体" w:cs="宋体"/>
          <w:color w:val="000000"/>
          <w:lang w:bidi="ar"/>
        </w:rPr>
      </w:pPr>
      <w:r>
        <w:rPr>
          <w:rFonts w:hint="eastAsia" w:ascii="宋体" w:hAnsi="宋体" w:cs="宋体"/>
          <w:color w:val="000000"/>
          <w:lang w:bidi="ar"/>
        </w:rPr>
        <w:t>1）检查产品金属和橡胶表面外观，橡胶与金属件结合面之间是否有开裂。</w:t>
      </w:r>
    </w:p>
    <w:p>
      <w:pPr>
        <w:ind w:left="0" w:right="0" w:firstLine="420" w:firstLineChars="200"/>
        <w:rPr>
          <w:rFonts w:ascii="宋体" w:hAnsi="宋体" w:cs="宋体"/>
          <w:color w:val="000000"/>
          <w:lang w:bidi="ar"/>
        </w:rPr>
      </w:pPr>
      <w:r>
        <w:rPr>
          <w:rFonts w:hint="eastAsia" w:ascii="宋体" w:hAnsi="宋体" w:cs="宋体"/>
          <w:color w:val="000000"/>
          <w:lang w:bidi="ar"/>
        </w:rPr>
        <w:t>2）橡胶表面是否产生溶胶现象且有明显块状橡胶脱出。</w:t>
      </w:r>
    </w:p>
    <w:p>
      <w:pPr>
        <w:ind w:left="0" w:right="0" w:firstLine="420" w:firstLineChars="200"/>
        <w:rPr>
          <w:rFonts w:ascii="宋体" w:hAnsi="宋体" w:cs="宋体"/>
          <w:color w:val="000000"/>
          <w:lang w:bidi="ar"/>
        </w:rPr>
      </w:pPr>
      <w:r>
        <w:rPr>
          <w:rFonts w:hint="eastAsia" w:ascii="宋体" w:hAnsi="宋体" w:cs="宋体"/>
          <w:color w:val="000000"/>
          <w:lang w:bidi="ar"/>
        </w:rPr>
        <w:t>3）橡胶面是否存在贯通裂纹或损伤。</w:t>
      </w:r>
    </w:p>
    <w:p>
      <w:pPr>
        <w:ind w:left="0" w:right="0" w:firstLine="420" w:firstLineChars="200"/>
        <w:rPr>
          <w:rFonts w:ascii="宋体" w:hAnsi="宋体" w:cs="宋体"/>
          <w:color w:val="000000"/>
          <w:lang w:bidi="ar"/>
        </w:rPr>
      </w:pPr>
      <w:r>
        <w:rPr>
          <w:rFonts w:hint="eastAsia" w:ascii="宋体" w:hAnsi="宋体" w:cs="宋体"/>
          <w:color w:val="000000"/>
          <w:lang w:bidi="ar"/>
        </w:rPr>
        <w:t>4）测量橡胶裂纹或脱胶处的数量、长度和深度。</w:t>
      </w:r>
    </w:p>
    <w:p>
      <w:pPr>
        <w:spacing w:beforeLines="50" w:after="120" w:afterLines="50"/>
        <w:ind w:right="-28"/>
        <w:rPr>
          <w:rFonts w:ascii="宋体" w:hAnsi="宋体"/>
          <w:b/>
          <w:bCs/>
        </w:rPr>
      </w:pPr>
      <w:bookmarkStart w:id="1369" w:name="_Toc8760"/>
      <w:bookmarkStart w:id="1370" w:name="_Toc18825"/>
      <w:r>
        <w:rPr>
          <w:rFonts w:hint="eastAsia" w:ascii="宋体" w:hAnsi="宋体"/>
          <w:b/>
          <w:bCs/>
        </w:rPr>
        <w:t>3.3尺寸检查</w:t>
      </w:r>
      <w:bookmarkEnd w:id="1369"/>
      <w:bookmarkEnd w:id="1370"/>
    </w:p>
    <w:p>
      <w:pPr>
        <w:ind w:left="0" w:right="0" w:firstLine="420" w:firstLineChars="200"/>
        <w:rPr>
          <w:rFonts w:ascii="宋体" w:hAnsi="宋体" w:cs="宋体"/>
          <w:color w:val="000000"/>
          <w:lang w:bidi="ar"/>
        </w:rPr>
      </w:pPr>
      <w:r>
        <w:rPr>
          <w:rFonts w:hint="eastAsia" w:ascii="宋体" w:hAnsi="宋体" w:cs="宋体"/>
          <w:color w:val="000000"/>
          <w:lang w:bidi="ar"/>
        </w:rPr>
        <w:t>根据产品规范测试产品尺寸规格,以下为牵引橡胶关节、一系橡胶垫、转臂定位橡胶关节部件的标准尺寸。</w:t>
      </w:r>
    </w:p>
    <w:p>
      <w:pPr>
        <w:ind w:left="0" w:right="0" w:firstLine="420" w:firstLineChars="200"/>
        <w:rPr>
          <w:rFonts w:ascii="宋体" w:hAnsi="宋体" w:cs="宋体"/>
          <w:color w:val="000000"/>
          <w:sz w:val="28"/>
          <w:szCs w:val="28"/>
          <w:lang w:bidi="ar"/>
        </w:rPr>
      </w:pPr>
      <w:r>
        <w:rPr>
          <w:rFonts w:hint="eastAsia" w:ascii="宋体" w:hAnsi="宋体" w:cs="宋体"/>
          <w:color w:val="000000"/>
          <w:lang w:bidi="ar"/>
        </w:rPr>
        <w:t>1）牵引橡胶关节相关参数标准如表2所示：</w:t>
      </w:r>
    </w:p>
    <w:p>
      <w:pPr>
        <w:pStyle w:val="25"/>
        <w:spacing w:before="120" w:beforeLines="50" w:beforeAutospacing="0" w:after="120" w:afterLines="50" w:afterAutospacing="0" w:line="315" w:lineRule="atLeast"/>
        <w:jc w:val="center"/>
        <w:rPr>
          <w:sz w:val="18"/>
          <w:szCs w:val="18"/>
        </w:rPr>
      </w:pPr>
      <w:r>
        <w:rPr>
          <w:rFonts w:hint="eastAsia" w:cs="宋体"/>
          <w:color w:val="000000"/>
          <w:sz w:val="18"/>
          <w:szCs w:val="18"/>
          <w:lang w:bidi="ar"/>
        </w:rPr>
        <w:t>表2：牵引橡胶关节参数标准</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1"/>
        <w:gridCol w:w="5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522" w:type="dxa"/>
            <w:gridSpan w:val="2"/>
          </w:tcPr>
          <w:p>
            <w:pPr>
              <w:spacing w:beforeLines="50" w:after="120" w:afterLines="50"/>
              <w:jc w:val="center"/>
              <w:rPr>
                <w:rFonts w:ascii="宋体" w:hAnsi="宋体" w:cs="宋体"/>
                <w:sz w:val="18"/>
                <w:szCs w:val="18"/>
              </w:rPr>
            </w:pPr>
            <w:r>
              <w:rPr>
                <w:rFonts w:hint="eastAsia" w:ascii="宋体" w:hAnsi="宋体" w:cs="宋体"/>
                <w:sz w:val="18"/>
                <w:szCs w:val="18"/>
              </w:rPr>
              <w:t>牵引橡胶关节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001" w:type="dxa"/>
          </w:tcPr>
          <w:p>
            <w:pPr>
              <w:spacing w:beforeLines="50" w:after="120" w:afterLines="50"/>
              <w:jc w:val="center"/>
              <w:rPr>
                <w:rFonts w:ascii="宋体" w:hAnsi="宋体" w:cs="宋体"/>
                <w:sz w:val="18"/>
                <w:szCs w:val="18"/>
              </w:rPr>
            </w:pPr>
            <w:r>
              <w:rPr>
                <w:rFonts w:hint="eastAsia" w:ascii="宋体" w:hAnsi="宋体" w:cs="宋体"/>
                <w:sz w:val="18"/>
                <w:szCs w:val="18"/>
              </w:rPr>
              <w:t>外径</w:t>
            </w:r>
          </w:p>
        </w:tc>
        <w:tc>
          <w:tcPr>
            <w:tcW w:w="5521" w:type="dxa"/>
          </w:tcPr>
          <w:p>
            <w:pPr>
              <w:spacing w:beforeLines="50" w:after="120" w:afterLines="50"/>
              <w:jc w:val="center"/>
              <w:rPr>
                <w:rFonts w:ascii="宋体" w:hAnsi="宋体" w:cs="宋体"/>
                <w:sz w:val="18"/>
                <w:szCs w:val="18"/>
              </w:rPr>
            </w:pPr>
            <w:r>
              <w:rPr>
                <w:rFonts w:hint="eastAsia" w:ascii="宋体" w:hAnsi="宋体" w:cs="宋体"/>
                <w:sz w:val="18"/>
                <w:szCs w:val="18"/>
              </w:rPr>
              <w:t>Φ150mm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Pr>
          <w:p>
            <w:pPr>
              <w:spacing w:beforeLines="50" w:after="120" w:afterLines="50"/>
              <w:jc w:val="center"/>
              <w:rPr>
                <w:rFonts w:ascii="宋体" w:hAnsi="宋体" w:cs="宋体"/>
                <w:sz w:val="18"/>
                <w:szCs w:val="18"/>
              </w:rPr>
            </w:pPr>
            <w:r>
              <w:rPr>
                <w:rFonts w:hint="eastAsia" w:ascii="宋体" w:hAnsi="宋体" w:cs="宋体"/>
                <w:sz w:val="18"/>
                <w:szCs w:val="18"/>
              </w:rPr>
              <w:t>宽</w:t>
            </w:r>
          </w:p>
        </w:tc>
        <w:tc>
          <w:tcPr>
            <w:tcW w:w="5521" w:type="dxa"/>
          </w:tcPr>
          <w:p>
            <w:pPr>
              <w:spacing w:beforeLines="50" w:after="120" w:afterLines="50"/>
              <w:jc w:val="center"/>
              <w:rPr>
                <w:rFonts w:ascii="宋体" w:hAnsi="宋体" w:cs="宋体"/>
                <w:sz w:val="18"/>
                <w:szCs w:val="18"/>
              </w:rPr>
            </w:pPr>
            <w:r>
              <w:rPr>
                <w:rFonts w:hint="eastAsia" w:ascii="宋体" w:hAnsi="宋体" w:cs="宋体"/>
                <w:sz w:val="18"/>
                <w:szCs w:val="18"/>
              </w:rPr>
              <w:t>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Pr>
          <w:p>
            <w:pPr>
              <w:spacing w:beforeLines="50" w:after="120" w:afterLines="50"/>
              <w:jc w:val="center"/>
              <w:rPr>
                <w:rFonts w:ascii="宋体" w:hAnsi="宋体" w:cs="宋体"/>
                <w:sz w:val="18"/>
                <w:szCs w:val="18"/>
              </w:rPr>
            </w:pPr>
            <w:r>
              <w:rPr>
                <w:rFonts w:hint="eastAsia" w:ascii="宋体" w:hAnsi="宋体" w:cs="宋体"/>
                <w:sz w:val="18"/>
                <w:szCs w:val="18"/>
              </w:rPr>
              <w:t>螺孔间距</w:t>
            </w:r>
          </w:p>
        </w:tc>
        <w:tc>
          <w:tcPr>
            <w:tcW w:w="5521" w:type="dxa"/>
          </w:tcPr>
          <w:p>
            <w:pPr>
              <w:spacing w:beforeLines="50" w:after="120" w:afterLines="50"/>
              <w:jc w:val="center"/>
              <w:rPr>
                <w:rFonts w:ascii="宋体" w:hAnsi="宋体" w:cs="宋体"/>
                <w:sz w:val="18"/>
                <w:szCs w:val="18"/>
              </w:rPr>
            </w:pPr>
            <w:r>
              <w:rPr>
                <w:rFonts w:hint="eastAsia" w:ascii="宋体" w:hAnsi="宋体" w:cs="宋体"/>
                <w:sz w:val="18"/>
                <w:szCs w:val="18"/>
              </w:rPr>
              <w:t>195mm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tcPr>
          <w:p>
            <w:pPr>
              <w:spacing w:beforeLines="50" w:after="120" w:afterLines="50"/>
              <w:jc w:val="center"/>
              <w:rPr>
                <w:rFonts w:ascii="宋体" w:hAnsi="宋体" w:cs="宋体"/>
                <w:sz w:val="18"/>
                <w:szCs w:val="18"/>
              </w:rPr>
            </w:pPr>
            <w:r>
              <w:rPr>
                <w:rFonts w:hint="eastAsia" w:ascii="宋体" w:hAnsi="宋体" w:cs="宋体"/>
                <w:sz w:val="18"/>
                <w:szCs w:val="18"/>
              </w:rPr>
              <w:t>轴销长度</w:t>
            </w:r>
          </w:p>
        </w:tc>
        <w:tc>
          <w:tcPr>
            <w:tcW w:w="5521" w:type="dxa"/>
          </w:tcPr>
          <w:p>
            <w:pPr>
              <w:spacing w:beforeLines="50" w:after="120" w:afterLines="50"/>
              <w:jc w:val="center"/>
              <w:rPr>
                <w:rFonts w:ascii="宋体" w:hAnsi="宋体" w:cs="宋体"/>
                <w:sz w:val="18"/>
                <w:szCs w:val="18"/>
              </w:rPr>
            </w:pPr>
            <w:r>
              <w:rPr>
                <w:rFonts w:hint="eastAsia" w:ascii="宋体" w:hAnsi="宋体" w:cs="宋体"/>
                <w:sz w:val="18"/>
                <w:szCs w:val="18"/>
              </w:rPr>
              <w:t>255mm</w:t>
            </w:r>
          </w:p>
        </w:tc>
      </w:tr>
    </w:tbl>
    <w:p>
      <w:pPr>
        <w:spacing w:beforeLines="50" w:after="120" w:afterLines="50"/>
        <w:ind w:firstLine="420" w:firstLineChars="200"/>
        <w:jc w:val="left"/>
      </w:pPr>
    </w:p>
    <w:p>
      <w:pPr>
        <w:ind w:left="0" w:right="0" w:firstLine="420" w:firstLineChars="200"/>
        <w:rPr>
          <w:rFonts w:ascii="宋体" w:hAnsi="宋体" w:cs="宋体"/>
          <w:color w:val="000000"/>
          <w:lang w:bidi="ar"/>
        </w:rPr>
      </w:pPr>
      <w:r>
        <w:rPr>
          <w:rFonts w:hint="eastAsia" w:ascii="宋体" w:hAnsi="宋体" w:cs="宋体"/>
          <w:color w:val="000000"/>
          <w:lang w:bidi="ar"/>
        </w:rPr>
        <w:t>2）一系橡胶垫相关参数标准：尺寸：243*181*169*8mm，产品结构图如图1所示：</w:t>
      </w:r>
    </w:p>
    <w:p>
      <w:pPr>
        <w:spacing w:beforeLines="50" w:after="120" w:afterLines="50"/>
        <w:jc w:val="left"/>
      </w:pPr>
      <w:r>
        <w:drawing>
          <wp:inline distT="0" distB="0" distL="114300" distR="114300">
            <wp:extent cx="5763895" cy="2203450"/>
            <wp:effectExtent l="0" t="0" r="8255" b="6350"/>
            <wp:docPr id="8" name="图片 2" descr="EB4EB010-67A6-4211-B38A-3A3DE771E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EB4EB010-67A6-4211-B38A-3A3DE771E717"/>
                    <pic:cNvPicPr>
                      <a:picLocks noChangeAspect="1"/>
                    </pic:cNvPicPr>
                  </pic:nvPicPr>
                  <pic:blipFill>
                    <a:blip r:embed="rId13"/>
                    <a:stretch>
                      <a:fillRect/>
                    </a:stretch>
                  </pic:blipFill>
                  <pic:spPr>
                    <a:xfrm>
                      <a:off x="0" y="0"/>
                      <a:ext cx="5763895" cy="2203450"/>
                    </a:xfrm>
                    <a:prstGeom prst="rect">
                      <a:avLst/>
                    </a:prstGeom>
                    <a:noFill/>
                    <a:ln>
                      <a:noFill/>
                    </a:ln>
                  </pic:spPr>
                </pic:pic>
              </a:graphicData>
            </a:graphic>
          </wp:inline>
        </w:drawing>
      </w:r>
    </w:p>
    <w:p>
      <w:pPr>
        <w:pStyle w:val="2"/>
        <w:jc w:val="center"/>
        <w:rPr>
          <w:rFonts w:hAnsi="宋体"/>
          <w:color w:val="000000"/>
          <w:szCs w:val="21"/>
          <w:lang w:bidi="ar"/>
        </w:rPr>
      </w:pPr>
      <w:r>
        <w:rPr>
          <w:rFonts w:hint="eastAsia" w:hAnsi="宋体"/>
          <w:color w:val="000000"/>
          <w:sz w:val="18"/>
          <w:szCs w:val="18"/>
          <w:lang w:bidi="ar"/>
        </w:rPr>
        <w:t>图1：一系橡胶垫参数标准</w:t>
      </w:r>
    </w:p>
    <w:p>
      <w:pPr>
        <w:ind w:left="0" w:right="0" w:firstLine="420" w:firstLineChars="200"/>
        <w:rPr>
          <w:rFonts w:ascii="宋体" w:hAnsi="宋体" w:cs="宋体"/>
          <w:color w:val="000000"/>
          <w:lang w:bidi="ar"/>
        </w:rPr>
      </w:pPr>
      <w:r>
        <w:rPr>
          <w:rFonts w:hint="eastAsia" w:ascii="宋体" w:hAnsi="宋体" w:cs="宋体"/>
          <w:color w:val="000000"/>
          <w:lang w:bidi="ar"/>
        </w:rPr>
        <w:t>3）转臂定位橡胶关节相关参数标准：转臂定位橡胶关节安装孔与转臂定位橡胶关节过盈配合</w:t>
      </w:r>
      <w:r>
        <w:rPr>
          <w:rFonts w:hint="eastAsia" w:ascii="宋体" w:hAnsi="宋体" w:cs="宋体"/>
          <w:color w:val="000000"/>
          <w:lang w:bidi="ar"/>
        </w:rPr>
        <w:object>
          <v:shape id="_x0000_i1025" o:spt="75" type="#_x0000_t75" style="height:19pt;width:90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rFonts w:hint="eastAsia" w:ascii="宋体" w:hAnsi="宋体" w:cs="宋体"/>
          <w:color w:val="000000"/>
          <w:lang w:bidi="ar"/>
        </w:rPr>
        <w:t>，如图2所示：</w:t>
      </w:r>
    </w:p>
    <w:p>
      <w:pPr>
        <w:spacing w:beforeLines="50" w:after="120" w:afterLines="50"/>
        <w:ind w:firstLine="420" w:firstLineChars="200"/>
        <w:jc w:val="left"/>
      </w:pPr>
      <w:r>
        <w:rPr>
          <w:rFonts w:hint="eastAsia"/>
        </w:rPr>
        <w:drawing>
          <wp:inline distT="0" distB="0" distL="114300" distR="114300">
            <wp:extent cx="4906010" cy="3234055"/>
            <wp:effectExtent l="0" t="0" r="8890" b="4445"/>
            <wp:docPr id="7"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1"/>
                    <pic:cNvPicPr>
                      <a:picLocks noChangeAspect="1"/>
                    </pic:cNvPicPr>
                  </pic:nvPicPr>
                  <pic:blipFill>
                    <a:blip r:embed="rId16"/>
                    <a:stretch>
                      <a:fillRect/>
                    </a:stretch>
                  </pic:blipFill>
                  <pic:spPr>
                    <a:xfrm>
                      <a:off x="0" y="0"/>
                      <a:ext cx="4906010" cy="3234055"/>
                    </a:xfrm>
                    <a:prstGeom prst="rect">
                      <a:avLst/>
                    </a:prstGeom>
                    <a:noFill/>
                    <a:ln>
                      <a:noFill/>
                    </a:ln>
                  </pic:spPr>
                </pic:pic>
              </a:graphicData>
            </a:graphic>
          </wp:inline>
        </w:drawing>
      </w:r>
    </w:p>
    <w:p>
      <w:pPr>
        <w:pStyle w:val="2"/>
        <w:jc w:val="center"/>
        <w:rPr>
          <w:sz w:val="18"/>
          <w:szCs w:val="18"/>
        </w:rPr>
      </w:pPr>
      <w:r>
        <w:rPr>
          <w:rFonts w:hint="eastAsia" w:hAnsi="宋体"/>
          <w:color w:val="000000"/>
          <w:sz w:val="18"/>
          <w:szCs w:val="18"/>
          <w:lang w:bidi="ar"/>
        </w:rPr>
        <w:t>图2：转臂定位橡胶关节参数标准</w:t>
      </w:r>
    </w:p>
    <w:p>
      <w:pPr>
        <w:spacing w:beforeLines="50" w:after="120" w:afterLines="50"/>
        <w:ind w:right="-28"/>
        <w:rPr>
          <w:rFonts w:ascii="宋体" w:hAnsi="宋体"/>
          <w:b/>
          <w:bCs/>
        </w:rPr>
      </w:pPr>
      <w:bookmarkStart w:id="1371" w:name="_Toc20861"/>
      <w:bookmarkStart w:id="1372" w:name="_Toc14884"/>
      <w:r>
        <w:rPr>
          <w:rFonts w:hint="eastAsia" w:ascii="宋体" w:hAnsi="宋体"/>
          <w:b/>
          <w:bCs/>
        </w:rPr>
        <w:t>3.4试验内容</w:t>
      </w:r>
      <w:bookmarkEnd w:id="1371"/>
      <w:bookmarkEnd w:id="1372"/>
    </w:p>
    <w:p>
      <w:pPr>
        <w:ind w:left="0" w:right="0" w:firstLine="420" w:firstLineChars="200"/>
        <w:rPr>
          <w:rFonts w:ascii="宋体" w:hAnsi="宋体" w:cs="宋体"/>
          <w:color w:val="000000"/>
          <w:lang w:bidi="ar"/>
        </w:rPr>
      </w:pPr>
      <w:r>
        <w:rPr>
          <w:rFonts w:hint="eastAsia" w:ascii="宋体" w:hAnsi="宋体" w:cs="宋体"/>
          <w:color w:val="000000"/>
          <w:lang w:bidi="ar"/>
        </w:rPr>
        <w:t>外观检查包含但不限于以下内容：</w:t>
      </w:r>
    </w:p>
    <w:p>
      <w:pPr>
        <w:ind w:left="0" w:right="0" w:firstLine="420" w:firstLineChars="200"/>
      </w:pPr>
      <w:r>
        <w:rPr>
          <w:rFonts w:hint="eastAsia" w:ascii="宋体" w:hAnsi="宋体" w:cs="宋体"/>
          <w:color w:val="000000"/>
          <w:lang w:bidi="ar"/>
        </w:rPr>
        <w:t>根据TB/T2843-2015标准对橡胶件寿命试验前后的静态刚度、动态刚度和阻尼分别进行测试，并进行裂纹分析及有限元仿真分析。承包人使用正规采购的有版权的仿真软件，需要对表1中的三款样品都进行有限元仿真，将理论计算值与实际测试结果进行对比分析。</w:t>
      </w:r>
    </w:p>
    <w:p>
      <w:pPr>
        <w:pStyle w:val="73"/>
        <w:widowControl w:val="0"/>
        <w:pBdr>
          <w:left w:val="none" w:color="auto" w:sz="0" w:space="0"/>
          <w:bottom w:val="none" w:color="auto" w:sz="0" w:space="0"/>
        </w:pBdr>
        <w:spacing w:before="120" w:beforeLines="50" w:beforeAutospacing="0" w:after="120" w:afterLines="50" w:afterAutospacing="0" w:line="240" w:lineRule="auto"/>
        <w:ind w:right="-28"/>
        <w:jc w:val="both"/>
        <w:textAlignment w:val="auto"/>
        <w:outlineLvl w:val="1"/>
        <w:rPr>
          <w:rFonts w:hint="default" w:cs="宋体"/>
          <w:b w:val="0"/>
          <w:bCs w:val="0"/>
        </w:rPr>
      </w:pPr>
      <w:bookmarkStart w:id="1373" w:name="_Toc22607"/>
      <w:bookmarkStart w:id="1374" w:name="_Toc12454"/>
      <w:bookmarkStart w:id="1375" w:name="_Toc514947996"/>
      <w:bookmarkStart w:id="1376" w:name="_Toc27413"/>
      <w:bookmarkStart w:id="1377" w:name="_Toc19923"/>
      <w:bookmarkStart w:id="1378" w:name="_Toc14275"/>
      <w:bookmarkStart w:id="1379" w:name="_Toc9792"/>
      <w:bookmarkStart w:id="1380" w:name="_Toc414518799"/>
      <w:bookmarkStart w:id="1381" w:name="_Toc2671"/>
      <w:bookmarkStart w:id="1382" w:name="_Toc7992"/>
      <w:r>
        <w:rPr>
          <w:rFonts w:cs="宋体"/>
          <w:b w:val="0"/>
          <w:bCs w:val="0"/>
        </w:rPr>
        <w:t>五、承包人人员要求</w:t>
      </w:r>
      <w:bookmarkEnd w:id="1373"/>
      <w:bookmarkEnd w:id="1374"/>
      <w:bookmarkEnd w:id="1375"/>
      <w:bookmarkEnd w:id="1376"/>
      <w:bookmarkEnd w:id="1377"/>
      <w:bookmarkEnd w:id="1378"/>
      <w:bookmarkEnd w:id="1379"/>
      <w:bookmarkEnd w:id="1380"/>
      <w:bookmarkEnd w:id="1381"/>
      <w:bookmarkEnd w:id="1382"/>
    </w:p>
    <w:p>
      <w:pPr>
        <w:spacing w:line="240" w:lineRule="auto"/>
        <w:ind w:left="0" w:right="0" w:firstLine="420" w:firstLineChars="200"/>
        <w:rPr>
          <w:rFonts w:ascii="宋体" w:hAnsi="宋体" w:cs="宋体"/>
          <w:color w:val="000000"/>
          <w:lang w:bidi="ar"/>
        </w:rPr>
      </w:pPr>
      <w:r>
        <w:rPr>
          <w:rFonts w:hint="eastAsia" w:ascii="宋体" w:hAnsi="宋体" w:cs="宋体"/>
          <w:color w:val="000000"/>
          <w:lang w:val="en-US" w:eastAsia="zh-CN" w:bidi="ar"/>
        </w:rPr>
        <w:t>本项目</w:t>
      </w:r>
      <w:r>
        <w:rPr>
          <w:rFonts w:hint="eastAsia" w:ascii="宋体" w:hAnsi="宋体" w:cs="宋体"/>
          <w:color w:val="000000"/>
          <w:lang w:bidi="ar"/>
        </w:rPr>
        <w:t>至少配置1</w:t>
      </w:r>
      <w:r>
        <w:rPr>
          <w:rFonts w:hint="eastAsia" w:ascii="宋体" w:hAnsi="宋体" w:cs="宋体"/>
          <w:color w:val="000000"/>
          <w:lang w:val="en-US" w:eastAsia="zh-CN" w:bidi="ar"/>
        </w:rPr>
        <w:t>名中级职称</w:t>
      </w:r>
      <w:r>
        <w:rPr>
          <w:rFonts w:hint="eastAsia" w:ascii="宋体" w:hAnsi="宋体" w:cs="宋体"/>
          <w:color w:val="000000"/>
          <w:lang w:bidi="ar"/>
        </w:rPr>
        <w:t>的专业技术人员。</w:t>
      </w:r>
      <w:bookmarkStart w:id="1383" w:name="_Toc514948001"/>
      <w:bookmarkStart w:id="1384" w:name="_Toc164752334"/>
    </w:p>
    <w:p>
      <w:pPr>
        <w:pStyle w:val="73"/>
        <w:widowControl w:val="0"/>
        <w:pBdr>
          <w:left w:val="none" w:color="auto" w:sz="0" w:space="0"/>
          <w:bottom w:val="none" w:color="auto" w:sz="0" w:space="0"/>
        </w:pBdr>
        <w:spacing w:before="120" w:beforeLines="50" w:beforeAutospacing="0" w:after="120" w:afterLines="50" w:afterAutospacing="0" w:line="240" w:lineRule="auto"/>
        <w:ind w:right="-28"/>
        <w:jc w:val="both"/>
        <w:textAlignment w:val="auto"/>
        <w:outlineLvl w:val="1"/>
        <w:rPr>
          <w:rFonts w:hint="default" w:cs="宋体"/>
          <w:b w:val="0"/>
          <w:bCs w:val="0"/>
        </w:rPr>
      </w:pPr>
      <w:bookmarkStart w:id="1385" w:name="_Toc11747"/>
      <w:bookmarkStart w:id="1386" w:name="_Toc25965"/>
      <w:bookmarkStart w:id="1387" w:name="_Toc14247"/>
      <w:bookmarkStart w:id="1388" w:name="_Toc28706"/>
      <w:bookmarkStart w:id="1389" w:name="_Toc13719"/>
      <w:bookmarkStart w:id="1390" w:name="_Toc27237"/>
      <w:r>
        <w:rPr>
          <w:rFonts w:cs="宋体"/>
          <w:b w:val="0"/>
          <w:bCs w:val="0"/>
        </w:rPr>
        <w:t>六、承包人资质要求</w:t>
      </w:r>
      <w:bookmarkEnd w:id="1385"/>
      <w:bookmarkEnd w:id="1386"/>
      <w:bookmarkEnd w:id="1387"/>
      <w:bookmarkEnd w:id="1388"/>
      <w:bookmarkEnd w:id="1389"/>
      <w:bookmarkEnd w:id="1390"/>
    </w:p>
    <w:p>
      <w:pPr>
        <w:spacing w:line="240" w:lineRule="auto"/>
        <w:ind w:left="0" w:right="0" w:firstLine="420" w:firstLineChars="200"/>
        <w:rPr>
          <w:rFonts w:ascii="宋体" w:hAnsi="宋体" w:cs="宋体"/>
          <w:color w:val="000000"/>
          <w:lang w:bidi="ar"/>
        </w:rPr>
      </w:pPr>
      <w:r>
        <w:rPr>
          <w:rFonts w:hint="eastAsia" w:ascii="宋体" w:hAnsi="宋体" w:cs="宋体"/>
          <w:color w:val="000000"/>
          <w:lang w:val="en-US" w:eastAsia="zh-CN" w:bidi="ar"/>
        </w:rPr>
        <w:t>1</w:t>
      </w:r>
      <w:r>
        <w:rPr>
          <w:rFonts w:hint="eastAsia" w:ascii="宋体" w:hAnsi="宋体" w:cs="宋体"/>
          <w:color w:val="000000"/>
          <w:lang w:bidi="ar"/>
        </w:rPr>
        <w:t>）比选申请人自201</w:t>
      </w:r>
      <w:r>
        <w:rPr>
          <w:rFonts w:hint="eastAsia" w:ascii="宋体" w:hAnsi="宋体" w:cs="宋体"/>
          <w:color w:val="000000"/>
          <w:lang w:val="en-US" w:eastAsia="zh-CN" w:bidi="ar"/>
        </w:rPr>
        <w:t>8</w:t>
      </w:r>
      <w:r>
        <w:rPr>
          <w:rFonts w:hint="eastAsia" w:ascii="宋体" w:hAnsi="宋体" w:cs="宋体"/>
          <w:color w:val="000000"/>
          <w:lang w:bidi="ar"/>
        </w:rPr>
        <w:t>年1月1日（备注：近</w:t>
      </w:r>
      <w:r>
        <w:rPr>
          <w:rFonts w:hint="eastAsia" w:ascii="宋体" w:hAnsi="宋体" w:cs="宋体"/>
          <w:color w:val="000000"/>
          <w:lang w:val="en-US" w:eastAsia="zh-CN" w:bidi="ar"/>
        </w:rPr>
        <w:t>5</w:t>
      </w:r>
      <w:r>
        <w:rPr>
          <w:rFonts w:hint="eastAsia" w:ascii="宋体" w:hAnsi="宋体" w:cs="宋体"/>
          <w:color w:val="000000"/>
          <w:lang w:bidi="ar"/>
        </w:rPr>
        <w:t>年）至截标时间至少拥有1项铁路或地铁车辆部件橡胶件检测业绩。比选申请时提供相应的佐证资料。</w:t>
      </w:r>
    </w:p>
    <w:p>
      <w:pPr>
        <w:spacing w:line="240" w:lineRule="auto"/>
        <w:ind w:left="0" w:right="0" w:firstLine="420" w:firstLineChars="200"/>
        <w:rPr>
          <w:rFonts w:ascii="宋体" w:hAnsi="宋体" w:cs="宋体"/>
          <w:color w:val="000000"/>
          <w:lang w:bidi="ar"/>
        </w:rPr>
      </w:pPr>
      <w:r>
        <w:rPr>
          <w:rFonts w:hint="eastAsia" w:ascii="宋体" w:hAnsi="宋体" w:cs="宋体"/>
          <w:color w:val="000000"/>
          <w:lang w:val="en-US" w:eastAsia="zh-CN" w:bidi="ar"/>
        </w:rPr>
        <w:t>2</w:t>
      </w:r>
      <w:r>
        <w:rPr>
          <w:rFonts w:hint="eastAsia" w:ascii="宋体" w:hAnsi="宋体" w:cs="宋体"/>
          <w:color w:val="000000"/>
          <w:lang w:bidi="ar"/>
        </w:rPr>
        <w:t>）承包人需具有CMA（检验检测机构资质认定证书）与CNAS（中国合格评定国家认可委员会实验室认可证书）资质。</w:t>
      </w:r>
    </w:p>
    <w:p>
      <w:pPr>
        <w:spacing w:line="240" w:lineRule="auto"/>
        <w:ind w:left="0" w:right="0" w:firstLine="420" w:firstLineChars="200"/>
        <w:rPr>
          <w:rFonts w:ascii="宋体" w:hAnsi="宋体" w:cs="宋体"/>
          <w:color w:val="000000"/>
          <w:lang w:bidi="ar"/>
        </w:rPr>
      </w:pPr>
      <w:r>
        <w:rPr>
          <w:rFonts w:hint="eastAsia" w:ascii="宋体" w:hAnsi="宋体" w:cs="宋体"/>
          <w:color w:val="000000"/>
          <w:lang w:val="en-US" w:eastAsia="zh-CN" w:bidi="ar"/>
        </w:rPr>
        <w:t>3</w:t>
      </w:r>
      <w:r>
        <w:rPr>
          <w:rFonts w:hint="eastAsia" w:ascii="宋体" w:hAnsi="宋体" w:cs="宋体"/>
          <w:color w:val="000000"/>
          <w:lang w:bidi="ar"/>
        </w:rPr>
        <w:t>) 承包人必须具备以下条件： ①具备相应的检测条件和能力，包括应当有健全的内部组织机构；有开展质量检验工作的基本规则、工作程序、管理制度等；有熟悉有关检验业务及其相关知识的检验人员，有与所从事的检验业务相适应的仪器、设备等技术装备，有保证检验工作质量的检验环境等。 ②须经省、自治区、直辖市人民政府的产品质量监督部门或者其授权考核的部门考核合格，经过考核，符合规定的条件，即可允许其从事产品质量检验工作，经过考核，不符合规定的条件的，不得从事产品质量监督检验工作。</w:t>
      </w:r>
    </w:p>
    <w:p>
      <w:pPr>
        <w:pStyle w:val="73"/>
        <w:widowControl w:val="0"/>
        <w:pBdr>
          <w:left w:val="none" w:color="auto" w:sz="0" w:space="0"/>
          <w:bottom w:val="none" w:color="auto" w:sz="0" w:space="0"/>
        </w:pBdr>
        <w:spacing w:before="120" w:beforeLines="50" w:beforeAutospacing="0" w:after="120" w:afterLines="50" w:afterAutospacing="0" w:line="240" w:lineRule="auto"/>
        <w:ind w:right="-28"/>
        <w:jc w:val="both"/>
        <w:textAlignment w:val="auto"/>
        <w:outlineLvl w:val="1"/>
        <w:rPr>
          <w:rFonts w:hint="default" w:cs="宋体"/>
          <w:b w:val="0"/>
          <w:bCs w:val="0"/>
          <w:highlight w:val="none"/>
        </w:rPr>
      </w:pPr>
      <w:bookmarkStart w:id="1391" w:name="_Toc12810"/>
      <w:bookmarkStart w:id="1392" w:name="_Toc19722"/>
      <w:bookmarkStart w:id="1393" w:name="_Toc23504"/>
      <w:bookmarkStart w:id="1394" w:name="_Toc9527"/>
      <w:bookmarkStart w:id="1395" w:name="_Toc22651"/>
      <w:bookmarkStart w:id="1396" w:name="_Toc11206"/>
      <w:bookmarkStart w:id="1397" w:name="_Toc19887"/>
      <w:bookmarkStart w:id="1398" w:name="_Toc20591"/>
      <w:r>
        <w:rPr>
          <w:rFonts w:cs="宋体"/>
          <w:b w:val="0"/>
          <w:bCs w:val="0"/>
        </w:rPr>
        <w:t>七、项目验收</w:t>
      </w:r>
      <w:bookmarkEnd w:id="1383"/>
      <w:r>
        <w:rPr>
          <w:rFonts w:cs="宋体"/>
          <w:b w:val="0"/>
          <w:bCs w:val="0"/>
        </w:rPr>
        <w:t>内容</w:t>
      </w:r>
      <w:bookmarkEnd w:id="1391"/>
      <w:bookmarkEnd w:id="1392"/>
      <w:bookmarkEnd w:id="1393"/>
      <w:bookmarkEnd w:id="1394"/>
      <w:bookmarkEnd w:id="1395"/>
      <w:bookmarkEnd w:id="1396"/>
      <w:bookmarkEnd w:id="1397"/>
      <w:bookmarkEnd w:id="1398"/>
    </w:p>
    <w:p>
      <w:pPr>
        <w:spacing w:line="240" w:lineRule="auto"/>
        <w:ind w:left="0" w:right="0" w:firstLine="420" w:firstLineChars="200"/>
        <w:rPr>
          <w:rFonts w:hint="eastAsia" w:ascii="宋体" w:hAnsi="宋体" w:eastAsia="宋体" w:cs="宋体"/>
          <w:color w:val="000000"/>
          <w:highlight w:val="none"/>
          <w:lang w:eastAsia="zh-CN" w:bidi="ar"/>
        </w:rPr>
      </w:pPr>
      <w:r>
        <w:rPr>
          <w:rFonts w:hint="eastAsia" w:ascii="宋体" w:hAnsi="宋体" w:cs="宋体"/>
          <w:color w:val="000000"/>
          <w:highlight w:val="none"/>
          <w:lang w:bidi="ar"/>
        </w:rPr>
        <w:t>完成“三 项目概况”、“四 项目要求”的内容并提交成果报告1份</w:t>
      </w:r>
      <w:r>
        <w:rPr>
          <w:rFonts w:hint="eastAsia" w:ascii="宋体" w:hAnsi="宋体" w:cs="宋体"/>
          <w:color w:val="000000"/>
          <w:highlight w:val="none"/>
          <w:lang w:val="en-US" w:eastAsia="zh-CN" w:bidi="ar"/>
        </w:rPr>
        <w:t>，并对该成果报告的准确性、真实性出具承诺书</w:t>
      </w:r>
      <w:r>
        <w:rPr>
          <w:rFonts w:hint="eastAsia" w:ascii="宋体" w:hAnsi="宋体" w:cs="宋体"/>
          <w:color w:val="000000"/>
          <w:highlight w:val="none"/>
          <w:lang w:bidi="ar"/>
        </w:rPr>
        <w:t>。</w:t>
      </w:r>
    </w:p>
    <w:bookmarkEnd w:id="1384"/>
    <w:p>
      <w:pPr>
        <w:pStyle w:val="73"/>
        <w:widowControl w:val="0"/>
        <w:pBdr>
          <w:left w:val="none" w:color="auto" w:sz="0" w:space="0"/>
          <w:bottom w:val="none" w:color="auto" w:sz="0" w:space="0"/>
        </w:pBdr>
        <w:spacing w:before="120" w:beforeLines="50" w:beforeAutospacing="0" w:after="120" w:afterLines="50" w:afterAutospacing="0" w:line="240" w:lineRule="auto"/>
        <w:ind w:right="-28"/>
        <w:jc w:val="both"/>
        <w:textAlignment w:val="auto"/>
        <w:outlineLvl w:val="1"/>
        <w:rPr>
          <w:rFonts w:hint="default" w:cs="宋体"/>
          <w:b w:val="0"/>
          <w:bCs w:val="0"/>
        </w:rPr>
      </w:pPr>
      <w:bookmarkStart w:id="1399" w:name="_Toc7709"/>
      <w:bookmarkStart w:id="1400" w:name="_Toc2184"/>
      <w:bookmarkStart w:id="1401" w:name="_Toc19840"/>
      <w:bookmarkStart w:id="1402" w:name="_Toc30001"/>
      <w:bookmarkStart w:id="1403" w:name="_Toc514948003"/>
      <w:bookmarkStart w:id="1404" w:name="_Toc6546"/>
      <w:bookmarkStart w:id="1405" w:name="_Toc25035"/>
      <w:bookmarkStart w:id="1406" w:name="_Toc31165"/>
      <w:bookmarkStart w:id="1407" w:name="_Toc22255"/>
      <w:r>
        <w:rPr>
          <w:rFonts w:cs="宋体"/>
          <w:b w:val="0"/>
          <w:bCs w:val="0"/>
        </w:rPr>
        <w:t>八、承包方式</w:t>
      </w:r>
      <w:bookmarkEnd w:id="1399"/>
      <w:bookmarkEnd w:id="1400"/>
      <w:bookmarkEnd w:id="1401"/>
      <w:bookmarkEnd w:id="1402"/>
      <w:bookmarkEnd w:id="1403"/>
      <w:bookmarkEnd w:id="1404"/>
      <w:bookmarkEnd w:id="1405"/>
      <w:bookmarkEnd w:id="1406"/>
      <w:bookmarkEnd w:id="1407"/>
    </w:p>
    <w:p>
      <w:pPr>
        <w:spacing w:line="240" w:lineRule="auto"/>
        <w:ind w:left="0" w:firstLine="420" w:firstLineChars="200"/>
        <w:rPr>
          <w:rFonts w:ascii="宋体" w:hAnsi="宋体" w:cs="宋体"/>
          <w:color w:val="000000"/>
          <w:sz w:val="28"/>
          <w:szCs w:val="28"/>
          <w:lang w:bidi="ar"/>
        </w:rPr>
      </w:pPr>
      <w:r>
        <w:rPr>
          <w:rFonts w:hint="eastAsia" w:ascii="宋体" w:hAnsi="宋体" w:cs="宋体"/>
          <w:color w:val="000000"/>
          <w:lang w:bidi="ar"/>
        </w:rPr>
        <w:t>本合同的承包方式为总价包干，费用包含但不限于试验费、人工费、材料费和税费等。</w:t>
      </w:r>
    </w:p>
    <w:p>
      <w:pPr>
        <w:pStyle w:val="73"/>
        <w:widowControl w:val="0"/>
        <w:pBdr>
          <w:left w:val="none" w:color="auto" w:sz="0" w:space="0"/>
          <w:bottom w:val="none" w:color="auto" w:sz="0" w:space="0"/>
        </w:pBdr>
        <w:spacing w:before="120" w:beforeLines="50" w:beforeAutospacing="0" w:after="120" w:afterLines="50" w:afterAutospacing="0" w:line="240" w:lineRule="auto"/>
        <w:ind w:right="-28"/>
        <w:jc w:val="both"/>
        <w:textAlignment w:val="auto"/>
        <w:outlineLvl w:val="1"/>
        <w:rPr>
          <w:rFonts w:hint="default" w:ascii="黑体" w:hAnsi="黑体" w:eastAsia="黑体" w:cs="黑体"/>
        </w:rPr>
      </w:pPr>
      <w:bookmarkStart w:id="1408" w:name="_Toc31843"/>
      <w:bookmarkStart w:id="1409" w:name="_Toc8390"/>
      <w:bookmarkStart w:id="1410" w:name="_Toc12096"/>
      <w:bookmarkStart w:id="1411" w:name="_Toc514948004"/>
      <w:bookmarkStart w:id="1412" w:name="_Toc6691"/>
      <w:bookmarkStart w:id="1413" w:name="_Toc22443"/>
      <w:bookmarkStart w:id="1414" w:name="_Toc24492"/>
      <w:bookmarkStart w:id="1415" w:name="_Toc7443"/>
      <w:bookmarkStart w:id="1416" w:name="_Toc4626"/>
      <w:r>
        <w:rPr>
          <w:rFonts w:cs="宋体"/>
          <w:b w:val="0"/>
          <w:bCs w:val="0"/>
        </w:rPr>
        <w:t>九、其他责任</w:t>
      </w:r>
      <w:bookmarkEnd w:id="1408"/>
      <w:bookmarkEnd w:id="1409"/>
      <w:bookmarkEnd w:id="1410"/>
      <w:bookmarkEnd w:id="1411"/>
      <w:bookmarkEnd w:id="1412"/>
      <w:bookmarkEnd w:id="1413"/>
      <w:bookmarkEnd w:id="1414"/>
      <w:bookmarkEnd w:id="1415"/>
      <w:bookmarkEnd w:id="1416"/>
      <w:r>
        <w:rPr>
          <w:rFonts w:ascii="黑体" w:hAnsi="黑体" w:eastAsia="黑体" w:cs="黑体"/>
        </w:rPr>
        <w:t xml:space="preserve"> </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1）未经发包人同意，不得随意转包、分包给第三方或存在挂靠行为。</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2）承包人按照合同规定实施评估工作，严格遵照项目内容及验收标准执行，不得随意简化或减少必要的程序。</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3）承包人须负责本方人员的安全，执行本合同的承包人工作人员因违章而产生的人身安全责任由承包人承担。</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4）对于发包人提供的图纸、技术资料，承包人有义务保密，不得向第三方转让，否则承包人须赔偿因此造成的损失。</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5）承包人在本合同执行期间，必须负责本方的人员、仪器、设备的一切安全。</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6）承包人对研究质量、数据及研究结论的准确性负全部责任。</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 xml:space="preserve">7）承包人须接受发包人对工期、质量、人员、设备、过程等进行监督检查，对不符合技术要求及发包人管理要求的内容，承包人必须按发包人要求进行整改，由此产生的费用由承包人承担。 </w:t>
      </w:r>
    </w:p>
    <w:p>
      <w:pPr>
        <w:spacing w:line="240" w:lineRule="auto"/>
        <w:ind w:left="0" w:firstLine="420" w:firstLineChars="200"/>
        <w:rPr>
          <w:rFonts w:ascii="宋体" w:hAnsi="宋体" w:cs="宋体"/>
          <w:color w:val="000000"/>
          <w:lang w:bidi="ar"/>
        </w:rPr>
      </w:pPr>
      <w:r>
        <w:rPr>
          <w:rFonts w:hint="eastAsia" w:ascii="宋体" w:hAnsi="宋体" w:cs="宋体"/>
          <w:color w:val="000000"/>
          <w:lang w:bidi="ar"/>
        </w:rPr>
        <w:t>8）承包人负责检测部件的往返运输，项目结束后，检测部件需归还发包人。</w:t>
      </w:r>
    </w:p>
    <w:p>
      <w:pPr>
        <w:spacing w:line="240" w:lineRule="auto"/>
        <w:ind w:left="0" w:firstLine="0"/>
      </w:pPr>
      <w:r>
        <w:rPr>
          <w:rFonts w:hint="eastAsia" w:ascii="宋体" w:hAnsi="宋体" w:cs="宋体"/>
          <w:b/>
          <w:bCs/>
          <w:color w:val="000000"/>
          <w:lang w:bidi="ar"/>
        </w:rPr>
        <w:br w:type="page"/>
      </w:r>
    </w:p>
    <w:p>
      <w:pPr>
        <w:ind w:left="0" w:firstLine="0"/>
        <w:rPr>
          <w:rFonts w:ascii="宋体" w:hAnsi="宋体" w:cs="宋体"/>
          <w:b/>
          <w:bCs/>
          <w:color w:val="000000"/>
          <w:lang w:bidi="ar"/>
        </w:rPr>
      </w:pPr>
      <w:r>
        <w:rPr>
          <w:rFonts w:hint="eastAsia" w:ascii="宋体" w:hAnsi="宋体" w:cs="宋体"/>
          <w:b/>
          <w:bCs/>
          <w:color w:val="000000"/>
          <w:lang w:bidi="ar"/>
        </w:rPr>
        <w:t>附件：</w:t>
      </w:r>
    </w:p>
    <w:p>
      <w:pPr>
        <w:ind w:left="0" w:firstLine="0"/>
        <w:jc w:val="center"/>
        <w:rPr>
          <w:rFonts w:ascii="宋体" w:hAnsi="宋体" w:cs="宋体"/>
          <w:sz w:val="24"/>
          <w:szCs w:val="24"/>
        </w:rPr>
      </w:pPr>
      <w:r>
        <w:rPr>
          <w:rFonts w:hint="eastAsia" w:ascii="宋体" w:hAnsi="宋体" w:cs="宋体"/>
          <w:sz w:val="24"/>
          <w:szCs w:val="24"/>
        </w:rPr>
        <w:t>橡胶件检测结论表</w:t>
      </w:r>
    </w:p>
    <w:tbl>
      <w:tblPr>
        <w:tblStyle w:val="29"/>
        <w:tblpPr w:leftFromText="180" w:rightFromText="180" w:vertAnchor="text" w:horzAnchor="page" w:tblpX="1955" w:tblpY="136"/>
        <w:tblOverlap w:val="never"/>
        <w:tblW w:w="7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921"/>
        <w:gridCol w:w="2274"/>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83" w:type="dxa"/>
          </w:tcPr>
          <w:p>
            <w:pPr>
              <w:ind w:left="0" w:firstLine="0"/>
              <w:jc w:val="center"/>
              <w:rPr>
                <w:rFonts w:ascii="宋体" w:hAnsi="宋体" w:cs="宋体"/>
              </w:rPr>
            </w:pPr>
            <w:r>
              <w:rPr>
                <w:rFonts w:hint="eastAsia" w:ascii="宋体" w:hAnsi="宋体" w:cs="宋体"/>
              </w:rPr>
              <w:t>序号</w:t>
            </w:r>
          </w:p>
        </w:tc>
        <w:tc>
          <w:tcPr>
            <w:tcW w:w="1921" w:type="dxa"/>
          </w:tcPr>
          <w:p>
            <w:pPr>
              <w:ind w:left="0" w:firstLine="0"/>
              <w:jc w:val="center"/>
              <w:rPr>
                <w:rFonts w:ascii="宋体" w:hAnsi="宋体" w:cs="宋体"/>
              </w:rPr>
            </w:pPr>
            <w:r>
              <w:rPr>
                <w:rFonts w:hint="eastAsia" w:ascii="宋体" w:hAnsi="宋体" w:cs="宋体"/>
              </w:rPr>
              <w:t>部件名称</w:t>
            </w:r>
          </w:p>
        </w:tc>
        <w:tc>
          <w:tcPr>
            <w:tcW w:w="2274" w:type="dxa"/>
          </w:tcPr>
          <w:p>
            <w:pPr>
              <w:ind w:left="0" w:firstLine="0"/>
              <w:jc w:val="center"/>
              <w:rPr>
                <w:rFonts w:ascii="宋体" w:hAnsi="宋体" w:cs="宋体"/>
              </w:rPr>
            </w:pPr>
            <w:r>
              <w:rPr>
                <w:rFonts w:hint="eastAsia" w:ascii="宋体" w:hAnsi="宋体" w:cs="宋体"/>
              </w:rPr>
              <w:t>检  测  结  论</w:t>
            </w:r>
          </w:p>
          <w:p>
            <w:pPr>
              <w:ind w:left="0" w:firstLine="0"/>
              <w:jc w:val="center"/>
              <w:rPr>
                <w:rFonts w:ascii="宋体" w:hAnsi="宋体" w:cs="宋体"/>
              </w:rPr>
            </w:pPr>
            <w:r>
              <w:rPr>
                <w:rFonts w:hint="eastAsia" w:ascii="宋体" w:hAnsi="宋体" w:cs="宋体"/>
              </w:rPr>
              <w:t>（</w:t>
            </w:r>
            <w:r>
              <w:rPr>
                <w:rFonts w:ascii="宋体" w:hAnsi="宋体" w:cs="宋体"/>
              </w:rPr>
              <w:t>沿用年限</w:t>
            </w:r>
            <w:r>
              <w:rPr>
                <w:rFonts w:hint="eastAsia" w:ascii="宋体" w:hAnsi="宋体" w:cs="宋体"/>
              </w:rPr>
              <w:t>）</w:t>
            </w:r>
          </w:p>
        </w:tc>
        <w:tc>
          <w:tcPr>
            <w:tcW w:w="2700" w:type="dxa"/>
          </w:tcPr>
          <w:p>
            <w:pPr>
              <w:ind w:left="0" w:firstLine="0"/>
              <w:jc w:val="center"/>
              <w:rPr>
                <w:rFonts w:ascii="宋体" w:hAnsi="宋体" w:cs="宋体"/>
              </w:rPr>
            </w:pPr>
            <w:r>
              <w:rPr>
                <w:rFonts w:hint="eastAsia" w:ascii="宋体" w:hAnsi="宋体" w:cs="宋体"/>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3" w:type="dxa"/>
          </w:tcPr>
          <w:p>
            <w:pPr>
              <w:ind w:left="0" w:firstLine="0"/>
              <w:jc w:val="center"/>
              <w:rPr>
                <w:rFonts w:ascii="宋体" w:hAnsi="宋体" w:cs="宋体"/>
              </w:rPr>
            </w:pPr>
            <w:r>
              <w:rPr>
                <w:rFonts w:hint="eastAsia" w:ascii="宋体" w:hAnsi="宋体" w:cs="宋体"/>
              </w:rPr>
              <w:t>1</w:t>
            </w:r>
          </w:p>
        </w:tc>
        <w:tc>
          <w:tcPr>
            <w:tcW w:w="1921" w:type="dxa"/>
          </w:tcPr>
          <w:p>
            <w:pPr>
              <w:ind w:left="0" w:firstLine="0"/>
              <w:jc w:val="center"/>
              <w:rPr>
                <w:rFonts w:ascii="宋体" w:hAnsi="宋体" w:cs="宋体"/>
              </w:rPr>
            </w:pPr>
            <w:r>
              <w:rPr>
                <w:rFonts w:hint="eastAsia" w:ascii="宋体" w:hAnsi="宋体" w:cs="宋体"/>
                <w:color w:val="000000"/>
                <w:sz w:val="18"/>
                <w:szCs w:val="18"/>
                <w:lang w:bidi="ar"/>
              </w:rPr>
              <w:t>牵引橡胶关节</w:t>
            </w:r>
          </w:p>
        </w:tc>
        <w:tc>
          <w:tcPr>
            <w:tcW w:w="2274" w:type="dxa"/>
          </w:tcPr>
          <w:p>
            <w:pPr>
              <w:ind w:left="0" w:firstLine="0"/>
              <w:jc w:val="center"/>
              <w:rPr>
                <w:rFonts w:ascii="宋体" w:hAnsi="宋体" w:cs="宋体"/>
              </w:rPr>
            </w:pPr>
          </w:p>
        </w:tc>
        <w:tc>
          <w:tcPr>
            <w:tcW w:w="2700" w:type="dxa"/>
          </w:tcPr>
          <w:p>
            <w:pPr>
              <w:ind w:left="0"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3" w:type="dxa"/>
          </w:tcPr>
          <w:p>
            <w:pPr>
              <w:ind w:left="0" w:firstLine="0"/>
              <w:jc w:val="center"/>
              <w:rPr>
                <w:rFonts w:ascii="宋体" w:hAnsi="宋体" w:cs="宋体"/>
              </w:rPr>
            </w:pPr>
            <w:r>
              <w:rPr>
                <w:rFonts w:hint="eastAsia" w:ascii="宋体" w:hAnsi="宋体" w:cs="宋体"/>
              </w:rPr>
              <w:t>2</w:t>
            </w:r>
          </w:p>
        </w:tc>
        <w:tc>
          <w:tcPr>
            <w:tcW w:w="1921" w:type="dxa"/>
          </w:tcPr>
          <w:p>
            <w:pPr>
              <w:ind w:left="0" w:firstLine="0"/>
              <w:jc w:val="center"/>
              <w:rPr>
                <w:rFonts w:ascii="宋体" w:hAnsi="宋体" w:cs="宋体"/>
              </w:rPr>
            </w:pPr>
            <w:r>
              <w:rPr>
                <w:rFonts w:hint="eastAsia" w:ascii="宋体" w:hAnsi="宋体" w:cs="宋体"/>
                <w:color w:val="000000"/>
                <w:sz w:val="18"/>
                <w:szCs w:val="18"/>
                <w:lang w:bidi="ar"/>
              </w:rPr>
              <w:t>一系橡胶垫</w:t>
            </w:r>
          </w:p>
        </w:tc>
        <w:tc>
          <w:tcPr>
            <w:tcW w:w="2274" w:type="dxa"/>
          </w:tcPr>
          <w:p>
            <w:pPr>
              <w:ind w:left="0" w:firstLine="0"/>
              <w:jc w:val="center"/>
              <w:rPr>
                <w:rFonts w:ascii="宋体" w:hAnsi="宋体" w:cs="宋体"/>
              </w:rPr>
            </w:pPr>
          </w:p>
        </w:tc>
        <w:tc>
          <w:tcPr>
            <w:tcW w:w="2700" w:type="dxa"/>
          </w:tcPr>
          <w:p>
            <w:pPr>
              <w:ind w:left="0"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83" w:type="dxa"/>
          </w:tcPr>
          <w:p>
            <w:pPr>
              <w:ind w:left="0" w:firstLine="0"/>
              <w:jc w:val="center"/>
              <w:rPr>
                <w:rFonts w:ascii="宋体" w:hAnsi="宋体" w:cs="宋体"/>
              </w:rPr>
            </w:pPr>
            <w:r>
              <w:rPr>
                <w:rFonts w:hint="eastAsia" w:ascii="宋体" w:hAnsi="宋体" w:cs="宋体"/>
              </w:rPr>
              <w:t>3</w:t>
            </w:r>
          </w:p>
        </w:tc>
        <w:tc>
          <w:tcPr>
            <w:tcW w:w="1921" w:type="dxa"/>
          </w:tcPr>
          <w:p>
            <w:pPr>
              <w:ind w:left="0" w:firstLine="0"/>
              <w:jc w:val="center"/>
              <w:rPr>
                <w:rFonts w:ascii="宋体" w:hAnsi="宋体" w:cs="宋体"/>
              </w:rPr>
            </w:pPr>
            <w:r>
              <w:rPr>
                <w:rFonts w:hint="eastAsia" w:ascii="宋体" w:hAnsi="宋体" w:cs="宋体"/>
                <w:color w:val="000000"/>
                <w:sz w:val="18"/>
                <w:szCs w:val="18"/>
                <w:lang w:bidi="ar"/>
              </w:rPr>
              <w:t>转臂定位橡胶关节</w:t>
            </w:r>
          </w:p>
        </w:tc>
        <w:tc>
          <w:tcPr>
            <w:tcW w:w="2274" w:type="dxa"/>
          </w:tcPr>
          <w:p>
            <w:pPr>
              <w:ind w:left="0" w:firstLine="0"/>
              <w:jc w:val="center"/>
              <w:rPr>
                <w:rFonts w:ascii="宋体" w:hAnsi="宋体" w:cs="宋体"/>
              </w:rPr>
            </w:pPr>
          </w:p>
        </w:tc>
        <w:tc>
          <w:tcPr>
            <w:tcW w:w="2700" w:type="dxa"/>
          </w:tcPr>
          <w:p>
            <w:pPr>
              <w:ind w:left="0"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83" w:type="dxa"/>
          </w:tcPr>
          <w:p>
            <w:pPr>
              <w:ind w:left="0" w:firstLine="0"/>
              <w:jc w:val="center"/>
              <w:rPr>
                <w:rFonts w:ascii="宋体" w:hAnsi="宋体" w:cs="宋体"/>
              </w:rPr>
            </w:pPr>
          </w:p>
          <w:p>
            <w:pPr>
              <w:ind w:left="0" w:firstLine="0"/>
              <w:jc w:val="center"/>
              <w:rPr>
                <w:rFonts w:ascii="宋体" w:hAnsi="宋体" w:cs="宋体"/>
              </w:rPr>
            </w:pPr>
          </w:p>
          <w:p>
            <w:pPr>
              <w:ind w:left="0" w:firstLine="0"/>
              <w:jc w:val="center"/>
              <w:rPr>
                <w:rFonts w:ascii="宋体" w:hAnsi="宋体" w:cs="宋体"/>
              </w:rPr>
            </w:pPr>
          </w:p>
          <w:p>
            <w:pPr>
              <w:ind w:left="0" w:firstLine="0"/>
              <w:jc w:val="center"/>
              <w:rPr>
                <w:rFonts w:ascii="宋体" w:hAnsi="宋体" w:cs="宋体"/>
              </w:rPr>
            </w:pPr>
            <w:r>
              <w:rPr>
                <w:rFonts w:ascii="宋体" w:hAnsi="宋体" w:cs="宋体"/>
              </w:rPr>
              <w:t>专家组</w:t>
            </w:r>
          </w:p>
          <w:p>
            <w:pPr>
              <w:ind w:left="0" w:firstLine="0"/>
              <w:jc w:val="center"/>
              <w:rPr>
                <w:rFonts w:ascii="宋体" w:hAnsi="宋体" w:cs="宋体"/>
              </w:rPr>
            </w:pPr>
            <w:r>
              <w:rPr>
                <w:rFonts w:ascii="宋体" w:hAnsi="宋体" w:cs="宋体"/>
              </w:rPr>
              <w:t>意见</w:t>
            </w:r>
          </w:p>
        </w:tc>
        <w:tc>
          <w:tcPr>
            <w:tcW w:w="6895" w:type="dxa"/>
            <w:gridSpan w:val="3"/>
          </w:tcPr>
          <w:p>
            <w:pPr>
              <w:ind w:left="0" w:firstLine="0"/>
              <w:jc w:val="center"/>
              <w:rPr>
                <w:rFonts w:ascii="宋体" w:hAnsi="宋体" w:cs="宋体"/>
              </w:rPr>
            </w:pPr>
          </w:p>
          <w:p/>
          <w:p>
            <w:pPr>
              <w:pStyle w:val="2"/>
            </w:pPr>
          </w:p>
          <w:p>
            <w:pPr>
              <w:pStyle w:val="3"/>
              <w:numPr>
                <w:ilvl w:val="255"/>
                <w:numId w:val="0"/>
              </w:numPr>
              <w:ind w:left="288"/>
            </w:pPr>
            <w:r>
              <w:t xml:space="preserve">  </w:t>
            </w:r>
          </w:p>
          <w:p>
            <w:pPr>
              <w:pStyle w:val="3"/>
              <w:numPr>
                <w:ilvl w:val="255"/>
                <w:numId w:val="0"/>
              </w:numPr>
              <w:ind w:left="288"/>
            </w:pPr>
          </w:p>
          <w:p>
            <w:pPr>
              <w:pStyle w:val="3"/>
              <w:numPr>
                <w:ilvl w:val="255"/>
                <w:numId w:val="0"/>
              </w:numPr>
              <w:ind w:left="288"/>
            </w:pPr>
          </w:p>
          <w:p>
            <w:pPr>
              <w:pStyle w:val="3"/>
              <w:numPr>
                <w:ilvl w:val="255"/>
                <w:numId w:val="0"/>
              </w:numPr>
              <w:ind w:left="288"/>
            </w:pPr>
          </w:p>
          <w:p>
            <w:pPr>
              <w:pStyle w:val="3"/>
              <w:numPr>
                <w:ilvl w:val="255"/>
                <w:numId w:val="0"/>
              </w:numPr>
              <w:ind w:left="288"/>
            </w:pPr>
          </w:p>
          <w:p>
            <w:pPr>
              <w:pStyle w:val="3"/>
              <w:numPr>
                <w:ilvl w:val="255"/>
                <w:numId w:val="0"/>
              </w:num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983" w:type="dxa"/>
          </w:tcPr>
          <w:p>
            <w:pPr>
              <w:ind w:left="0" w:firstLine="0"/>
              <w:jc w:val="center"/>
              <w:rPr>
                <w:rFonts w:ascii="宋体" w:hAnsi="宋体" w:cs="宋体"/>
              </w:rPr>
            </w:pPr>
          </w:p>
          <w:p>
            <w:pPr>
              <w:ind w:left="0" w:firstLine="0"/>
              <w:jc w:val="center"/>
              <w:rPr>
                <w:rFonts w:ascii="宋体" w:hAnsi="宋体" w:cs="宋体"/>
              </w:rPr>
            </w:pPr>
            <w:r>
              <w:rPr>
                <w:rFonts w:ascii="宋体" w:hAnsi="宋体" w:cs="宋体"/>
              </w:rPr>
              <w:t>专家组</w:t>
            </w:r>
            <w:r>
              <w:rPr>
                <w:rFonts w:hAnsi="宋体" w:cs="宋体"/>
              </w:rPr>
              <w:t>签字</w:t>
            </w:r>
          </w:p>
        </w:tc>
        <w:tc>
          <w:tcPr>
            <w:tcW w:w="6895" w:type="dxa"/>
            <w:gridSpan w:val="3"/>
          </w:tcPr>
          <w:p>
            <w:pPr>
              <w:ind w:left="0" w:firstLine="0"/>
              <w:jc w:val="left"/>
              <w:rPr>
                <w:rFonts w:ascii="宋体" w:hAnsi="宋体" w:cs="宋体"/>
              </w:rPr>
            </w:pPr>
          </w:p>
          <w:p>
            <w:pPr>
              <w:ind w:left="0" w:firstLine="0"/>
              <w:jc w:val="left"/>
              <w:rPr>
                <w:rFonts w:ascii="宋体" w:hAnsi="宋体" w:cs="宋体"/>
              </w:rPr>
            </w:pPr>
            <w:r>
              <w:rPr>
                <w:rFonts w:ascii="宋体" w:hAnsi="宋体" w:cs="宋体"/>
              </w:rPr>
              <w:t>专家组长：               专家成员：</w:t>
            </w:r>
          </w:p>
        </w:tc>
      </w:tr>
    </w:tbl>
    <w:p>
      <w:pPr>
        <w:pStyle w:val="2"/>
        <w:ind w:left="0" w:firstLine="0"/>
      </w:pPr>
    </w:p>
    <w:p/>
    <w:p>
      <w:pPr>
        <w:numPr>
          <w:ins w:id="3" w:author="经海兵" w:date="2022-11-09T10:12:00Z"/>
        </w:numPr>
      </w:pPr>
    </w:p>
    <w:p>
      <w:pPr>
        <w:numPr>
          <w:ins w:id="4" w:author="经海兵" w:date="2022-11-09T10:12:00Z"/>
        </w:numPr>
      </w:pPr>
    </w:p>
    <w:p>
      <w:pPr>
        <w:numPr>
          <w:ins w:id="5" w:author="经海兵" w:date="2022-11-09T10:12:00Z"/>
        </w:numPr>
      </w:pPr>
    </w:p>
    <w:p>
      <w:pPr>
        <w:numPr>
          <w:ins w:id="6" w:author="经海兵" w:date="2022-11-09T10:12:00Z"/>
        </w:numPr>
      </w:pPr>
    </w:p>
    <w:p>
      <w:pPr>
        <w:numPr>
          <w:ins w:id="7" w:author="经海兵" w:date="2022-11-09T10:12:00Z"/>
        </w:numPr>
      </w:pPr>
    </w:p>
    <w:p>
      <w:pPr>
        <w:numPr>
          <w:ins w:id="8" w:author="经海兵" w:date="2022-11-09T10:12:00Z"/>
        </w:numPr>
      </w:pPr>
    </w:p>
    <w:p>
      <w:pPr>
        <w:numPr>
          <w:ins w:id="9" w:author="经海兵" w:date="2022-11-09T10:12:00Z"/>
        </w:numPr>
      </w:pPr>
    </w:p>
    <w:p>
      <w:pPr>
        <w:numPr>
          <w:ins w:id="10" w:author="经海兵" w:date="2022-11-09T10:12:00Z"/>
        </w:numPr>
      </w:pPr>
    </w:p>
    <w:p>
      <w:pPr>
        <w:numPr>
          <w:ins w:id="11" w:author="经海兵" w:date="2022-11-09T10:12:00Z"/>
        </w:numPr>
      </w:pPr>
    </w:p>
    <w:p>
      <w:pPr>
        <w:numPr>
          <w:ins w:id="12" w:author="经海兵" w:date="2022-11-09T10:12:00Z"/>
        </w:numPr>
      </w:pPr>
    </w:p>
    <w:p>
      <w:pPr>
        <w:numPr>
          <w:ins w:id="13" w:author="经海兵" w:date="2022-11-09T10:12:00Z"/>
        </w:numPr>
      </w:pPr>
    </w:p>
    <w:p>
      <w:pPr>
        <w:numPr>
          <w:ins w:id="14" w:author="经海兵" w:date="2022-11-09T10:12:00Z"/>
        </w:numPr>
      </w:pPr>
    </w:p>
    <w:p>
      <w:pPr>
        <w:numPr>
          <w:ins w:id="15" w:author="经海兵" w:date="2022-11-09T10:12:00Z"/>
        </w:numPr>
      </w:pPr>
    </w:p>
    <w:p>
      <w:pPr>
        <w:numPr>
          <w:ins w:id="16" w:author="经海兵" w:date="2022-11-09T10:12:00Z"/>
        </w:numPr>
        <w:tabs>
          <w:tab w:val="left" w:pos="1488"/>
        </w:tabs>
        <w:ind w:left="0" w:firstLine="0"/>
        <w:jc w:val="left"/>
      </w:pPr>
      <w:r>
        <w:rPr>
          <w:rFonts w:hint="eastAsia"/>
        </w:rPr>
        <w:tab/>
      </w:r>
    </w:p>
    <w:p>
      <w:pPr>
        <w:pStyle w:val="2"/>
        <w:ind w:left="707" w:leftChars="207" w:hanging="272" w:hangingChars="136"/>
      </w:pPr>
    </w:p>
    <w:p>
      <w:pPr>
        <w:pStyle w:val="2"/>
        <w:ind w:left="707" w:leftChars="207" w:hanging="272" w:hangingChars="136"/>
      </w:pPr>
      <w:r>
        <w:rPr>
          <w:rFonts w:hint="eastAsia"/>
        </w:rPr>
        <w:t>备注：检测专家组一名组长，至少</w:t>
      </w:r>
      <w:r>
        <w:rPr>
          <w:rFonts w:hint="eastAsia"/>
          <w:lang w:val="en-US" w:eastAsia="zh-CN"/>
        </w:rPr>
        <w:t>2</w:t>
      </w:r>
      <w:r>
        <w:rPr>
          <w:rFonts w:hint="eastAsia"/>
        </w:rPr>
        <w:t>名成员，出具质量鉴定意见证明。</w:t>
      </w:r>
    </w:p>
    <w:bookmarkEnd w:id="1298"/>
    <w:bookmarkEnd w:id="1299"/>
    <w:p>
      <w:pPr>
        <w:pStyle w:val="2"/>
        <w:pageBreakBefore/>
        <w:ind w:right="-57" w:firstLine="0"/>
        <w:jc w:val="center"/>
        <w:outlineLvl w:val="0"/>
        <w:rPr>
          <w:rStyle w:val="42"/>
          <w:rFonts w:ascii="宋体" w:hAnsi="宋体" w:eastAsia="宋体"/>
        </w:rPr>
      </w:pPr>
      <w:bookmarkStart w:id="1417" w:name="_Toc3551"/>
      <w:bookmarkStart w:id="1418" w:name="_Toc17186"/>
      <w:bookmarkStart w:id="1419" w:name="_Toc6716"/>
      <w:bookmarkStart w:id="1420" w:name="_Toc9329"/>
      <w:bookmarkStart w:id="1421" w:name="_Toc531"/>
      <w:bookmarkStart w:id="1422" w:name="_Toc25750691"/>
      <w:bookmarkStart w:id="1423" w:name="_Toc9094"/>
      <w:bookmarkStart w:id="1424" w:name="_Toc26286"/>
      <w:bookmarkStart w:id="1425" w:name="_Toc5008"/>
      <w:bookmarkStart w:id="1426" w:name="_Toc2561"/>
      <w:bookmarkStart w:id="1427" w:name="_Toc1104"/>
      <w:bookmarkStart w:id="1428" w:name="_Toc20882"/>
      <w:bookmarkStart w:id="1429" w:name="_Toc22547"/>
      <w:bookmarkStart w:id="1430" w:name="_Toc21226"/>
      <w:bookmarkStart w:id="1431" w:name="_Toc1777"/>
      <w:bookmarkStart w:id="1432" w:name="_Toc8206"/>
      <w:bookmarkStart w:id="1433" w:name="_Toc6090"/>
      <w:bookmarkStart w:id="1434" w:name="_Toc147"/>
      <w:bookmarkStart w:id="1435" w:name="_Toc25908"/>
      <w:bookmarkStart w:id="1436" w:name="_Toc4284"/>
      <w:bookmarkStart w:id="1437" w:name="_Toc14104"/>
      <w:bookmarkStart w:id="1438" w:name="_Toc3174"/>
      <w:bookmarkStart w:id="1439" w:name="_Toc14738"/>
      <w:bookmarkStart w:id="1440" w:name="_Toc21231"/>
      <w:r>
        <w:rPr>
          <w:rStyle w:val="42"/>
          <w:rFonts w:hint="eastAsia" w:ascii="宋体" w:hAnsi="宋体" w:eastAsia="宋体"/>
        </w:rPr>
        <w:t>第六章评分办法</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spacing w:before="0" w:after="0" w:afterAutospacing="0"/>
        <w:ind w:left="0" w:right="0" w:firstLine="562" w:firstLineChars="200"/>
        <w:outlineLvl w:val="1"/>
        <w:rPr>
          <w:rFonts w:ascii="宋体" w:hAnsi="宋体" w:cs="Arial"/>
          <w:b/>
          <w:bCs/>
          <w:sz w:val="28"/>
          <w:szCs w:val="28"/>
        </w:rPr>
      </w:pPr>
      <w:bookmarkStart w:id="1441" w:name="_Toc6479"/>
      <w:bookmarkStart w:id="1442" w:name="_Toc25235"/>
      <w:bookmarkStart w:id="1443" w:name="_Toc24193"/>
      <w:bookmarkStart w:id="1444" w:name="_Toc21743"/>
      <w:bookmarkStart w:id="1445" w:name="_Toc25750692"/>
      <w:bookmarkStart w:id="1446" w:name="_Toc25643"/>
      <w:bookmarkStart w:id="1447" w:name="_Toc19951"/>
      <w:r>
        <w:rPr>
          <w:rFonts w:hint="eastAsia" w:ascii="宋体" w:hAnsi="宋体" w:cs="Arial"/>
          <w:b/>
          <w:bCs/>
          <w:sz w:val="28"/>
          <w:szCs w:val="28"/>
        </w:rPr>
        <w:t>一、评审原则</w:t>
      </w:r>
      <w:bookmarkEnd w:id="1441"/>
      <w:bookmarkEnd w:id="1442"/>
      <w:bookmarkEnd w:id="1443"/>
      <w:bookmarkEnd w:id="1444"/>
      <w:bookmarkEnd w:id="1445"/>
      <w:bookmarkEnd w:id="1446"/>
      <w:bookmarkEnd w:id="1447"/>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评审委员会成员构成：本项目由南宁轨道交通运营有限公司3人及以上单数组成评审小组，对比选申请文件按评审标准进行评审；由南宁轨道交通运营有限公司，纪检监察部门进行监督。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rPr>
      </w:pPr>
      <w:bookmarkStart w:id="1448" w:name="_Toc28537"/>
      <w:bookmarkStart w:id="1449" w:name="_Toc15880"/>
      <w:bookmarkStart w:id="1450" w:name="_Toc29000"/>
      <w:bookmarkStart w:id="1451" w:name="_Toc25750693"/>
      <w:bookmarkStart w:id="1452" w:name="_Toc478566177"/>
      <w:bookmarkStart w:id="1453" w:name="_Toc11240"/>
      <w:bookmarkStart w:id="1454" w:name="_Toc7528"/>
      <w:bookmarkStart w:id="1455" w:name="_Toc2479"/>
      <w:bookmarkStart w:id="1456" w:name="_Toc10367"/>
      <w:bookmarkStart w:id="1457" w:name="_Toc5136"/>
      <w:bookmarkStart w:id="1458" w:name="_Toc15737"/>
      <w:bookmarkStart w:id="1459" w:name="_Toc2077"/>
      <w:r>
        <w:rPr>
          <w:rFonts w:hint="eastAsia" w:ascii="宋体" w:hAnsi="宋体" w:cs="Arial"/>
          <w:b/>
          <w:bCs/>
          <w:sz w:val="28"/>
          <w:szCs w:val="28"/>
        </w:rPr>
        <w:t>二、评定方法</w:t>
      </w:r>
      <w:bookmarkEnd w:id="1448"/>
      <w:bookmarkEnd w:id="1449"/>
      <w:bookmarkEnd w:id="1450"/>
      <w:bookmarkEnd w:id="1451"/>
      <w:bookmarkEnd w:id="1452"/>
      <w:bookmarkEnd w:id="1453"/>
      <w:bookmarkEnd w:id="1454"/>
      <w:bookmarkEnd w:id="1455"/>
      <w:bookmarkEnd w:id="1456"/>
      <w:bookmarkEnd w:id="1457"/>
      <w:bookmarkEnd w:id="1458"/>
      <w:bookmarkEnd w:id="1459"/>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2.1对资格性和符合性检查合格的比选申请文件，采用综合评分法进行评审，满分100分，其中技术满分</w:t>
      </w:r>
      <w:r>
        <w:rPr>
          <w:rFonts w:hint="default" w:ascii="宋体" w:hAnsi="宋体" w:cs="Arial"/>
        </w:rPr>
        <w:t>7</w:t>
      </w:r>
      <w:r>
        <w:rPr>
          <w:rFonts w:hint="eastAsia" w:ascii="宋体" w:hAnsi="宋体" w:cs="Arial"/>
        </w:rPr>
        <w:t>0分，价格满分</w:t>
      </w:r>
      <w:r>
        <w:rPr>
          <w:rFonts w:hint="default" w:ascii="宋体" w:hAnsi="宋体" w:cs="Arial"/>
        </w:rPr>
        <w:t>3</w:t>
      </w:r>
      <w:r>
        <w:rPr>
          <w:rFonts w:hint="eastAsia" w:ascii="宋体" w:hAnsi="宋体" w:cs="Arial"/>
        </w:rPr>
        <w:t>0分。</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2.2评审委员会将依照本比选文件相关要求，对照比选申请文件的应答进行比较，并对各比选申请文件的技术、价格内容进行评审打分。</w:t>
      </w:r>
    </w:p>
    <w:p>
      <w:pPr>
        <w:spacing w:before="0" w:after="0" w:afterAutospacing="0"/>
        <w:ind w:left="0" w:right="0" w:firstLine="420" w:firstLineChars="200"/>
        <w:rPr>
          <w:rFonts w:ascii="宋体" w:hAnsi="宋体" w:cs="Arial"/>
        </w:rPr>
      </w:pPr>
      <w:r>
        <w:rPr>
          <w:rFonts w:hint="eastAsia" w:ascii="宋体" w:hAnsi="宋体" w:cs="Arial"/>
        </w:rPr>
        <w:t>2.3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before="0" w:after="0" w:afterAutospacing="0"/>
        <w:ind w:left="0" w:right="0" w:firstLine="420" w:firstLineChars="200"/>
        <w:rPr>
          <w:rFonts w:ascii="宋体" w:hAnsi="宋体" w:cs="Arial"/>
        </w:rPr>
      </w:pPr>
      <w:r>
        <w:rPr>
          <w:rFonts w:hint="eastAsia" w:ascii="宋体" w:hAnsi="宋体" w:cs="Arial"/>
        </w:rPr>
        <w:t>2.4总分=技术得分+价格得分。各项指标的分数计算四舍五入，取小数点后两位。计算比选申请人综合评分，并按照总分（综合得分）由高到低的顺序提出1-3名中选候选人，并编写评审报告。若比选申请人的综合得分相等时，技术评分高者优先；技术评分也相等的，比选报价评分高者优先，比选报价评分也相等的，以评审委员会记名投票的方式按少数服从多数的原则决定其排名顺序。</w:t>
      </w:r>
    </w:p>
    <w:p>
      <w:pPr>
        <w:spacing w:before="0" w:after="0" w:afterAutospacing="0"/>
        <w:ind w:left="0" w:right="0" w:firstLine="562" w:firstLineChars="200"/>
        <w:outlineLvl w:val="1"/>
        <w:rPr>
          <w:rFonts w:ascii="宋体" w:hAnsi="宋体" w:cs="Arial"/>
          <w:b/>
        </w:rPr>
      </w:pPr>
      <w:bookmarkStart w:id="1460" w:name="_Toc18812"/>
      <w:bookmarkStart w:id="1461" w:name="_Toc9227"/>
      <w:bookmarkStart w:id="1462" w:name="_Toc30878"/>
      <w:bookmarkStart w:id="1463" w:name="_Toc17125"/>
      <w:bookmarkStart w:id="1464" w:name="_Toc22921"/>
      <w:bookmarkStart w:id="1465" w:name="_Toc2245"/>
      <w:r>
        <w:rPr>
          <w:rFonts w:hint="eastAsia" w:ascii="宋体" w:hAnsi="宋体" w:cs="Arial"/>
          <w:b/>
          <w:bCs/>
          <w:sz w:val="28"/>
          <w:szCs w:val="28"/>
        </w:rPr>
        <w:t>三、评审流程</w:t>
      </w:r>
      <w:bookmarkEnd w:id="1460"/>
      <w:bookmarkEnd w:id="1461"/>
      <w:bookmarkEnd w:id="1462"/>
      <w:bookmarkEnd w:id="1463"/>
      <w:bookmarkEnd w:id="1464"/>
      <w:bookmarkEnd w:id="1465"/>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w:t>
      </w:r>
      <w:r>
        <w:rPr>
          <w:rFonts w:hint="eastAsia" w:ascii="宋体" w:hAnsi="宋体"/>
          <w:lang w:eastAsia="zh-CN"/>
        </w:rPr>
        <w:t>比选</w:t>
      </w:r>
      <w:r>
        <w:rPr>
          <w:rFonts w:hint="eastAsia" w:ascii="宋体" w:hAnsi="宋体"/>
        </w:rPr>
        <w:t>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3.2初步评审</w:t>
      </w:r>
    </w:p>
    <w:p>
      <w:pPr>
        <w:tabs>
          <w:tab w:val="left" w:pos="851"/>
        </w:tabs>
        <w:spacing w:before="0" w:after="0" w:afterAutospacing="0"/>
        <w:ind w:left="0" w:right="0" w:firstLine="420" w:firstLineChars="200"/>
        <w:rPr>
          <w:rFonts w:hAnsi="宋体"/>
        </w:rPr>
      </w:pPr>
      <w:r>
        <w:rPr>
          <w:rFonts w:hint="eastAsia" w:hAnsi="宋体"/>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（2） 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rPr>
      </w:pPr>
      <w:r>
        <w:rPr>
          <w:rFonts w:hint="eastAsia" w:hAnsi="宋体"/>
        </w:rPr>
        <w:t>（3）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符合性</w:t>
      </w:r>
      <w:r>
        <w:rPr>
          <w:rFonts w:hAnsi="宋体"/>
        </w:rPr>
        <w:t>评审表》。</w:t>
      </w:r>
    </w:p>
    <w:p>
      <w:pPr>
        <w:tabs>
          <w:tab w:val="left" w:pos="851"/>
          <w:tab w:val="left" w:pos="1134"/>
        </w:tabs>
        <w:spacing w:before="0" w:after="0" w:afterAutospacing="0"/>
        <w:ind w:left="422" w:right="0" w:firstLine="0"/>
        <w:rPr>
          <w:rFonts w:ascii="宋体" w:hAnsi="宋体"/>
          <w:b/>
        </w:rPr>
      </w:pPr>
      <w:bookmarkStart w:id="1466" w:name="_Toc15224"/>
      <w:bookmarkStart w:id="1467" w:name="_Toc28404"/>
      <w:bookmarkStart w:id="1468" w:name="_Toc25750694"/>
      <w:bookmarkStart w:id="1469" w:name="_Toc10968"/>
      <w:bookmarkStart w:id="1470" w:name="_Toc23314"/>
      <w:bookmarkStart w:id="1471" w:name="_Toc15073"/>
      <w:bookmarkStart w:id="1472" w:name="_Toc27271"/>
      <w:bookmarkStart w:id="1473" w:name="_Toc9730"/>
      <w:bookmarkStart w:id="1474" w:name="_Toc9588"/>
      <w:bookmarkStart w:id="1475" w:name="_Toc434"/>
      <w:bookmarkStart w:id="1476" w:name="_Toc492478849"/>
      <w:bookmarkStart w:id="1477" w:name="_Toc31611"/>
      <w:bookmarkStart w:id="1478" w:name="_Toc19557"/>
      <w:bookmarkStart w:id="1479" w:name="_Toc22464"/>
      <w:bookmarkStart w:id="1480" w:name="_Toc29245"/>
      <w:bookmarkStart w:id="1481" w:name="_Toc9189"/>
      <w:bookmarkStart w:id="1482" w:name="_Toc18096"/>
      <w:bookmarkStart w:id="1483" w:name="_Toc29923"/>
      <w:bookmarkStart w:id="1484" w:name="_Toc11845"/>
      <w:bookmarkStart w:id="1485" w:name="_Toc414290583"/>
      <w:bookmarkStart w:id="1486" w:name="_Toc16364"/>
      <w:r>
        <w:rPr>
          <w:rFonts w:hint="eastAsia" w:ascii="宋体" w:hAnsi="宋体"/>
          <w:b/>
        </w:rPr>
        <w:t>3.3详细评审</w:t>
      </w:r>
    </w:p>
    <w:p>
      <w:pPr>
        <w:spacing w:before="0" w:after="0" w:afterAutospacing="0"/>
        <w:ind w:left="705" w:leftChars="200" w:right="0" w:hanging="285" w:hangingChars="136"/>
        <w:rPr>
          <w:rFonts w:ascii="宋体" w:hAnsi="宋体" w:cs="Arial"/>
        </w:rPr>
      </w:pPr>
      <w:r>
        <w:rPr>
          <w:rFonts w:hint="eastAsia" w:ascii="宋体" w:hAnsi="宋体" w:cs="Arial"/>
        </w:rPr>
        <w:t>3.3.1</w:t>
      </w:r>
      <w:r>
        <w:rPr>
          <w:rFonts w:ascii="宋体" w:hAnsi="宋体" w:cs="Arial"/>
        </w:rPr>
        <w:t>评审委员会对通过初步评审的</w:t>
      </w:r>
      <w:r>
        <w:rPr>
          <w:rFonts w:hint="eastAsia" w:ascii="宋体" w:hAnsi="宋体" w:cs="Arial"/>
          <w:lang w:eastAsia="zh-CN"/>
        </w:rPr>
        <w:t>比选申请</w:t>
      </w:r>
      <w:r>
        <w:rPr>
          <w:rFonts w:ascii="宋体" w:hAnsi="宋体" w:cs="Arial"/>
        </w:rPr>
        <w:t>文件的资信文件和技术文件进行详细评审。</w:t>
      </w:r>
    </w:p>
    <w:p>
      <w:pPr>
        <w:tabs>
          <w:tab w:val="left" w:pos="851"/>
        </w:tabs>
        <w:spacing w:before="0" w:after="0" w:afterAutospacing="0"/>
        <w:ind w:left="0" w:right="0" w:firstLine="420" w:firstLineChars="200"/>
        <w:rPr>
          <w:rFonts w:ascii="宋体" w:hAnsi="宋体"/>
        </w:rPr>
      </w:pPr>
      <w:r>
        <w:rPr>
          <w:rFonts w:ascii="宋体" w:hAnsi="宋体" w:cs="Arial"/>
        </w:rPr>
        <w:t>3</w:t>
      </w:r>
      <w:r>
        <w:rPr>
          <w:rFonts w:hint="eastAsia" w:ascii="宋体" w:hAnsi="宋体" w:cs="Arial"/>
        </w:rPr>
        <w:t>.</w:t>
      </w:r>
      <w:r>
        <w:rPr>
          <w:rFonts w:ascii="宋体" w:hAnsi="宋体" w:cs="Arial"/>
        </w:rPr>
        <w:t>3</w:t>
      </w:r>
      <w:r>
        <w:rPr>
          <w:rFonts w:hint="eastAsia" w:ascii="宋体" w:hAnsi="宋体" w:cs="Arial"/>
        </w:rPr>
        <w:t>.2</w:t>
      </w:r>
      <w:r>
        <w:rPr>
          <w:rFonts w:ascii="宋体" w:hAnsi="宋体" w:cs="Arial"/>
        </w:rPr>
        <w:t>评审委员会按照附表三《技术文件评分表》规定的量化因素和分值，对各比选申请人技</w:t>
      </w:r>
      <w:r>
        <w:rPr>
          <w:rFonts w:ascii="宋体"/>
        </w:rPr>
        <w:t>术部分评审。各评委对比选申请人的各评分项评分累加后得出各评委的总得分。比选申请人技术得分取所有评委总得分的算术平均值（得分出现小数点，保留小数点后二位，第三位小数四舍五入）。</w:t>
      </w:r>
    </w:p>
    <w:p>
      <w:pPr>
        <w:spacing w:before="0" w:after="0" w:afterAutospacing="0"/>
        <w:ind w:left="0" w:right="0" w:firstLine="420" w:firstLineChars="200"/>
        <w:rPr>
          <w:rFonts w:ascii="宋体" w:hAnsi="宋体" w:cs="Arial"/>
        </w:rPr>
      </w:pPr>
      <w:r>
        <w:rPr>
          <w:rFonts w:hint="eastAsia" w:ascii="宋体" w:hAnsi="宋体" w:cs="Arial"/>
        </w:rPr>
        <w:t>3.3</w:t>
      </w:r>
      <w:r>
        <w:rPr>
          <w:rFonts w:ascii="宋体" w:hAnsi="宋体" w:cs="Arial"/>
        </w:rPr>
        <w:t>.3价格评审</w:t>
      </w:r>
    </w:p>
    <w:p>
      <w:pPr>
        <w:spacing w:before="0" w:after="0" w:afterAutospacing="0"/>
        <w:ind w:left="0" w:right="0" w:firstLine="420" w:firstLineChars="200"/>
        <w:rPr>
          <w:rFonts w:ascii="宋体" w:hAnsi="宋体" w:cs="Arial"/>
        </w:rPr>
      </w:pPr>
      <w:r>
        <w:rPr>
          <w:rFonts w:ascii="宋体" w:hAnsi="宋体" w:cs="Arial"/>
        </w:rPr>
        <w:t>3.3.3.1评审委员会对通过初步评审的</w:t>
      </w:r>
      <w:r>
        <w:rPr>
          <w:rFonts w:hint="eastAsia" w:ascii="宋体" w:hAnsi="宋体" w:cs="Arial"/>
          <w:lang w:eastAsia="zh-CN"/>
        </w:rPr>
        <w:t>比选申请</w:t>
      </w:r>
      <w:r>
        <w:rPr>
          <w:rFonts w:ascii="宋体" w:hAnsi="宋体" w:cs="Arial"/>
        </w:rPr>
        <w:t>文件的报价文件进行详细评审。</w:t>
      </w:r>
    </w:p>
    <w:p>
      <w:pPr>
        <w:tabs>
          <w:tab w:val="left" w:pos="851"/>
          <w:tab w:val="left" w:pos="1134"/>
        </w:tabs>
        <w:spacing w:before="0" w:after="0" w:afterAutospacing="0"/>
        <w:ind w:left="105" w:leftChars="50" w:right="0" w:firstLine="315" w:firstLineChars="150"/>
        <w:jc w:val="left"/>
      </w:pPr>
      <w:r>
        <w:rPr>
          <w:rFonts w:ascii="宋体" w:hAnsi="宋体" w:cs="Arial"/>
        </w:rPr>
        <w:t>3.3.3.2</w:t>
      </w:r>
      <w:r>
        <w:rPr>
          <w:rFonts w:hint="eastAsia" w:ascii="宋体" w:hAnsi="宋体" w:cs="Arial"/>
          <w:lang w:eastAsia="zh-CN"/>
        </w:rPr>
        <w:t>比选申请</w:t>
      </w:r>
      <w:r>
        <w:rPr>
          <w:rFonts w:ascii="宋体" w:hAnsi="宋体" w:cs="Arial"/>
        </w:rPr>
        <w:t>报价有算术错误的，评标委员会按以下原则对</w:t>
      </w:r>
      <w:r>
        <w:rPr>
          <w:rFonts w:hint="eastAsia" w:ascii="宋体" w:hAnsi="宋体" w:cs="Arial"/>
          <w:lang w:eastAsia="zh-CN"/>
        </w:rPr>
        <w:t>比选申请</w:t>
      </w:r>
      <w:r>
        <w:rPr>
          <w:rFonts w:ascii="宋体" w:hAnsi="宋体" w:cs="Arial"/>
        </w:rPr>
        <w:t>报价进行修正，修正的价格经比</w:t>
      </w:r>
      <w:r>
        <w:rPr>
          <w:rFonts w:ascii="宋体"/>
        </w:rPr>
        <w:t>选申请人书面确认后具有约束力。比选申请人不接受修正价格的，其</w:t>
      </w:r>
      <w:r>
        <w:rPr>
          <w:rFonts w:hint="eastAsia" w:ascii="宋体"/>
          <w:lang w:eastAsia="zh-CN"/>
        </w:rPr>
        <w:t>比选申请</w:t>
      </w:r>
      <w:r>
        <w:rPr>
          <w:rFonts w:ascii="宋体"/>
        </w:rPr>
        <w:t>作否决</w:t>
      </w:r>
      <w:r>
        <w:rPr>
          <w:rFonts w:hint="eastAsia" w:ascii="宋体"/>
          <w:lang w:eastAsia="zh-CN"/>
        </w:rPr>
        <w:t>比选申请</w:t>
      </w:r>
      <w:r>
        <w:rPr>
          <w:rFonts w:ascii="宋体"/>
        </w:rPr>
        <w:t>处理：</w:t>
      </w:r>
    </w:p>
    <w:p>
      <w:pPr>
        <w:tabs>
          <w:tab w:val="left" w:pos="851"/>
          <w:tab w:val="left" w:pos="1134"/>
        </w:tabs>
        <w:spacing w:before="0" w:after="0" w:afterAutospacing="0"/>
        <w:ind w:left="0" w:right="0" w:firstLine="420" w:firstLineChars="200"/>
        <w:jc w:val="left"/>
        <w:rPr>
          <w:rFonts w:cs="宋体"/>
        </w:rPr>
      </w:pPr>
      <w:r>
        <w:rPr>
          <w:rFonts w:ascii="宋体"/>
        </w:rPr>
        <w:t>(1）比选申请</w:t>
      </w:r>
      <w:r>
        <w:rPr>
          <w:rFonts w:ascii="宋体" w:cs="宋体"/>
        </w:rPr>
        <w:t>文件中的大写金额与小写金额不一致的，以大写金额为准；</w:t>
      </w:r>
    </w:p>
    <w:p>
      <w:pPr>
        <w:tabs>
          <w:tab w:val="left" w:pos="851"/>
          <w:tab w:val="left" w:pos="1134"/>
        </w:tabs>
        <w:spacing w:before="0" w:after="0" w:afterAutospacing="0"/>
        <w:ind w:left="0" w:right="0" w:firstLine="420" w:firstLineChars="200"/>
        <w:jc w:val="left"/>
        <w:rPr>
          <w:rFonts w:cs="宋体"/>
        </w:rPr>
      </w:pPr>
      <w:r>
        <w:rPr>
          <w:rFonts w:hint="eastAsia" w:ascii="宋体"/>
        </w:rPr>
        <w:t>（</w:t>
      </w:r>
      <w:r>
        <w:rPr>
          <w:rFonts w:ascii="宋体"/>
        </w:rPr>
        <w:t>2）</w:t>
      </w:r>
      <w:r>
        <w:rPr>
          <w:rFonts w:ascii="宋体" w:cs="宋体"/>
        </w:rPr>
        <w:t>总价金额与依据单价计算出的结果不一致的，以单价金额为准修正总价，但单价金额小数点有明显错误的除外；</w:t>
      </w:r>
    </w:p>
    <w:p>
      <w:pPr>
        <w:tabs>
          <w:tab w:val="left" w:pos="851"/>
          <w:tab w:val="left" w:pos="1134"/>
        </w:tabs>
        <w:spacing w:before="0" w:after="0" w:afterAutospacing="0"/>
        <w:ind w:left="0" w:right="0" w:firstLine="420" w:firstLineChars="200"/>
        <w:jc w:val="left"/>
        <w:rPr>
          <w:rFonts w:ascii="宋体"/>
        </w:rPr>
      </w:pPr>
      <w:r>
        <w:rPr>
          <w:rFonts w:ascii="宋体" w:cs="宋体"/>
        </w:rPr>
        <w:t>(3)</w:t>
      </w:r>
      <w:r>
        <w:rPr>
          <w:rFonts w:ascii="宋体"/>
        </w:rPr>
        <w:t xml:space="preserve"> 修正后的最终比选申请报价超过上限控制价的比选申请文件作否决</w:t>
      </w:r>
      <w:r>
        <w:rPr>
          <w:rFonts w:hint="eastAsia" w:ascii="宋体"/>
          <w:lang w:eastAsia="zh-CN"/>
        </w:rPr>
        <w:t>比选申请</w:t>
      </w:r>
      <w:r>
        <w:rPr>
          <w:rFonts w:ascii="宋体"/>
        </w:rPr>
        <w:t>处理。修正后的分项报价超过分项控制价的比选申请文件作否决</w:t>
      </w:r>
      <w:r>
        <w:rPr>
          <w:rFonts w:hint="eastAsia" w:ascii="宋体"/>
          <w:lang w:eastAsia="zh-CN"/>
        </w:rPr>
        <w:t>比选申请</w:t>
      </w:r>
      <w:r>
        <w:rPr>
          <w:rFonts w:ascii="宋体"/>
        </w:rPr>
        <w:t>处理。如项目设有综合单价控制价的，修正后的综合单价超过综合单价控制价的比选申请文件作否决</w:t>
      </w:r>
      <w:r>
        <w:rPr>
          <w:rFonts w:hint="eastAsia" w:ascii="宋体"/>
          <w:lang w:eastAsia="zh-CN"/>
        </w:rPr>
        <w:t>比选申请</w:t>
      </w:r>
      <w:r>
        <w:rPr>
          <w:rFonts w:ascii="宋体"/>
        </w:rPr>
        <w:t>处理；</w:t>
      </w:r>
    </w:p>
    <w:p>
      <w:pPr>
        <w:tabs>
          <w:tab w:val="left" w:pos="851"/>
          <w:tab w:val="left" w:pos="1134"/>
        </w:tabs>
        <w:spacing w:before="0" w:after="0" w:afterAutospacing="0"/>
        <w:ind w:left="0" w:right="0" w:firstLine="420" w:firstLineChars="200"/>
        <w:jc w:val="left"/>
        <w:rPr>
          <w:rFonts w:ascii="宋体"/>
        </w:rPr>
      </w:pPr>
      <w:r>
        <w:rPr>
          <w:rFonts w:ascii="宋体"/>
        </w:rPr>
        <w:t>（4）</w:t>
      </w:r>
      <w:r>
        <w:rPr>
          <w:rFonts w:ascii="宋体" w:hAnsi="宋体"/>
        </w:rPr>
        <w:t>若修正后的总价与</w:t>
      </w:r>
      <w:r>
        <w:rPr>
          <w:rFonts w:hint="eastAsia" w:ascii="宋体" w:hAnsi="宋体"/>
          <w:lang w:eastAsia="zh-CN"/>
        </w:rPr>
        <w:t>比选申请</w:t>
      </w:r>
      <w:r>
        <w:rPr>
          <w:rFonts w:ascii="宋体" w:hAnsi="宋体"/>
        </w:rPr>
        <w:t>报价不相等，则评标总价和中标价均以修正后的总价为准，如投人不接受按以上规则确定的评标总价和中标价，则其</w:t>
      </w:r>
      <w:r>
        <w:rPr>
          <w:rFonts w:hint="eastAsia" w:ascii="宋体" w:hAnsi="宋体"/>
          <w:lang w:eastAsia="zh-CN"/>
        </w:rPr>
        <w:t>比选申请</w:t>
      </w:r>
      <w:r>
        <w:rPr>
          <w:rFonts w:ascii="宋体" w:hAnsi="宋体"/>
        </w:rPr>
        <w:t>将被拒绝</w:t>
      </w:r>
      <w:r>
        <w:rPr>
          <w:rFonts w:ascii="宋体"/>
        </w:rPr>
        <w:t>。</w:t>
      </w:r>
    </w:p>
    <w:p>
      <w:pPr>
        <w:tabs>
          <w:tab w:val="left" w:pos="851"/>
          <w:tab w:val="left" w:pos="1134"/>
        </w:tabs>
        <w:spacing w:before="0" w:after="0" w:afterAutospacing="0"/>
        <w:ind w:left="0" w:right="0" w:firstLine="420" w:firstLineChars="200"/>
        <w:jc w:val="left"/>
        <w:rPr>
          <w:rFonts w:ascii="宋体" w:hAnsi="宋体" w:cs="Arial"/>
        </w:rPr>
      </w:pPr>
      <w:r>
        <w:rPr>
          <w:rFonts w:ascii="宋体" w:hAnsi="宋体" w:cs="Arial"/>
        </w:rPr>
        <w:t>3.3.3.3出现下列情况的比选申请文件将予以否决：</w:t>
      </w:r>
    </w:p>
    <w:p>
      <w:pPr>
        <w:tabs>
          <w:tab w:val="left" w:pos="851"/>
          <w:tab w:val="left" w:pos="1134"/>
        </w:tabs>
        <w:spacing w:before="0" w:after="0" w:afterAutospacing="0"/>
        <w:ind w:left="0" w:right="0" w:firstLine="420" w:firstLineChars="200"/>
        <w:jc w:val="left"/>
      </w:pPr>
      <w:r>
        <w:rPr>
          <w:rFonts w:ascii="宋体"/>
        </w:rPr>
        <w:t>（1）评审委员会发现比选申请人的报价明显低于其他比选申请报价，使得其</w:t>
      </w:r>
      <w:r>
        <w:rPr>
          <w:rFonts w:hint="eastAsia" w:ascii="宋体"/>
          <w:lang w:eastAsia="zh-CN"/>
        </w:rPr>
        <w:t>比选申请</w:t>
      </w:r>
      <w:r>
        <w:rPr>
          <w:rFonts w:ascii="宋体"/>
        </w:rPr>
        <w:t>报价可能低于其个别成本的，应当要求该比选申请人作出书面说明并提供相应的证明材料。比选申请人不能合理说明或者不能提供相应证明材料的，评审委员会应当认定该比选申请人以低于成本报价</w:t>
      </w:r>
      <w:r>
        <w:rPr>
          <w:rFonts w:hint="eastAsia" w:ascii="宋体"/>
          <w:lang w:eastAsia="zh-CN"/>
        </w:rPr>
        <w:t>比选申请</w:t>
      </w:r>
      <w:r>
        <w:rPr>
          <w:rFonts w:ascii="宋体"/>
        </w:rPr>
        <w:t>，否决其</w:t>
      </w:r>
      <w:r>
        <w:rPr>
          <w:rFonts w:hint="eastAsia" w:ascii="宋体"/>
          <w:lang w:eastAsia="zh-CN"/>
        </w:rPr>
        <w:t>比选申请</w:t>
      </w:r>
      <w:r>
        <w:rPr>
          <w:rFonts w:ascii="宋体"/>
        </w:rPr>
        <w:t>。</w:t>
      </w:r>
    </w:p>
    <w:p>
      <w:pPr>
        <w:tabs>
          <w:tab w:val="left" w:pos="851"/>
          <w:tab w:val="left" w:pos="1134"/>
        </w:tabs>
        <w:spacing w:before="0" w:after="0" w:afterAutospacing="0"/>
        <w:ind w:left="0" w:right="0" w:firstLine="420" w:firstLineChars="200"/>
        <w:jc w:val="left"/>
        <w:rPr>
          <w:b/>
        </w:rPr>
      </w:pPr>
      <w:r>
        <w:rPr>
          <w:rFonts w:ascii="宋体"/>
        </w:rPr>
        <w:t>（2）</w:t>
      </w:r>
      <w:bookmarkStart w:id="1487" w:name="_Hlk36511445"/>
      <w:r>
        <w:rPr>
          <w:rFonts w:hint="eastAsia" w:ascii="宋体"/>
          <w:b/>
          <w:lang w:eastAsia="zh-CN"/>
        </w:rPr>
        <w:t>比选申请</w:t>
      </w:r>
      <w:r>
        <w:rPr>
          <w:rFonts w:ascii="宋体"/>
          <w:b/>
        </w:rPr>
        <w:t>报价清单如有漏项的</w:t>
      </w:r>
      <w:r>
        <w:rPr>
          <w:rFonts w:hint="eastAsia" w:ascii="宋体"/>
          <w:b/>
          <w:lang w:eastAsia="zh-CN"/>
        </w:rPr>
        <w:t>比选申请</w:t>
      </w:r>
      <w:r>
        <w:rPr>
          <w:rFonts w:ascii="宋体"/>
          <w:b/>
        </w:rPr>
        <w:t>文件，将予以否决。</w:t>
      </w:r>
      <w:bookmarkEnd w:id="1487"/>
    </w:p>
    <w:p>
      <w:pPr>
        <w:tabs>
          <w:tab w:val="left" w:pos="851"/>
          <w:tab w:val="left" w:pos="1134"/>
        </w:tabs>
        <w:spacing w:before="0" w:after="0" w:afterAutospacing="0"/>
        <w:ind w:left="0" w:right="0" w:firstLine="420" w:firstLineChars="200"/>
        <w:rPr>
          <w:rFonts w:ascii="宋体" w:hAnsi="宋体" w:cs="Arial"/>
        </w:rPr>
      </w:pPr>
      <w:r>
        <w:rPr>
          <w:rFonts w:hint="eastAsia" w:ascii="宋体" w:hAnsi="宋体" w:cs="Arial"/>
        </w:rPr>
        <w:t>3.3.4.4评审委员会按照附表四《比选报价评分表》规定的量化因素和分值，对各比选申请人的</w:t>
      </w:r>
      <w:r>
        <w:rPr>
          <w:rFonts w:hint="eastAsia" w:ascii="宋体" w:hAnsi="宋体" w:cs="Arial"/>
          <w:lang w:eastAsia="zh-CN"/>
        </w:rPr>
        <w:t>比选申请</w:t>
      </w:r>
      <w:r>
        <w:rPr>
          <w:rFonts w:hint="eastAsia" w:ascii="宋体" w:hAnsi="宋体" w:cs="Arial"/>
        </w:rPr>
        <w:t>报价评审，并计算出价格得分（得分出现小数点，保留小数点后二位，第三位小数四舍五入）。</w:t>
      </w:r>
    </w:p>
    <w:p>
      <w:pPr>
        <w:tabs>
          <w:tab w:val="left" w:pos="851"/>
          <w:tab w:val="left" w:pos="1134"/>
        </w:tabs>
        <w:spacing w:before="0" w:after="0" w:afterAutospacing="0"/>
        <w:ind w:left="0" w:right="0" w:firstLine="422" w:firstLineChars="200"/>
        <w:rPr>
          <w:rFonts w:ascii="宋体" w:hAnsi="宋体"/>
          <w:b/>
        </w:rPr>
      </w:pPr>
      <w:r>
        <w:rPr>
          <w:rFonts w:hint="eastAsia" w:ascii="宋体" w:hAnsi="宋体"/>
          <w:b/>
        </w:rPr>
        <w:t>3.3.6评审结果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通过价格评审计算出比选申请人的实际评审总价，填写《比选申请评审表》（见附表六），由评审委员会根据通过资格审查及符合性评审的比选申请人</w:t>
      </w:r>
      <w:r>
        <w:rPr>
          <w:rFonts w:ascii="宋体" w:hAnsi="宋体"/>
        </w:rPr>
        <w:t>综合评分按照由高到低的顺序进行排序</w:t>
      </w:r>
      <w:r>
        <w:rPr>
          <w:rFonts w:hint="eastAsia" w:ascii="宋体" w:hAnsi="宋体" w:cs="Arial"/>
        </w:rPr>
        <w:t>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rPr>
          <w:rFonts w:ascii="宋体" w:hAnsi="宋体"/>
          <w:b/>
        </w:rPr>
      </w:pPr>
      <w:r>
        <w:rPr>
          <w:rFonts w:hint="eastAsia" w:ascii="宋体" w:hAnsi="宋体"/>
          <w:b/>
        </w:rPr>
        <w:t>3.4</w:t>
      </w:r>
      <w:r>
        <w:rPr>
          <w:rFonts w:ascii="宋体" w:hAnsi="宋体"/>
          <w:b/>
        </w:rPr>
        <w:t>澄清或补正</w:t>
      </w:r>
    </w:p>
    <w:p>
      <w:pPr>
        <w:tabs>
          <w:tab w:val="left" w:pos="851"/>
        </w:tabs>
        <w:spacing w:before="0" w:after="0" w:afterAutospacing="0"/>
        <w:ind w:left="0" w:right="0" w:firstLine="420" w:firstLineChars="200"/>
        <w:rPr>
          <w:rFonts w:ascii="宋体" w:hAnsi="宋体"/>
        </w:rPr>
      </w:pPr>
      <w:r>
        <w:rPr>
          <w:rFonts w:hint="eastAsia" w:ascii="宋体" w:hAnsi="宋体"/>
        </w:rPr>
        <w:t>3.4.1在评审阶段，评审委员会认为必要时，可书面通知比选申请人要求其澄清或补正比选申请文件中的问题，或者要求其补充某些资料。对此，比选申请人不得拒绝。</w:t>
      </w:r>
    </w:p>
    <w:p>
      <w:pPr>
        <w:tabs>
          <w:tab w:val="left" w:pos="851"/>
        </w:tabs>
        <w:spacing w:before="0" w:after="0" w:afterAutospacing="0"/>
        <w:ind w:left="0" w:right="0" w:firstLine="420" w:firstLineChars="200"/>
        <w:rPr>
          <w:rFonts w:ascii="宋体" w:hAnsi="宋体"/>
        </w:rPr>
      </w:pPr>
      <w:r>
        <w:rPr>
          <w:rFonts w:hint="eastAsia" w:ascii="宋体" w:hAnsi="宋体"/>
        </w:rPr>
        <w:t>3.4.2比选申请人须以书面形式提供澄清或补正文件，经评审委员会确认方可作为比选申请文件的组成部分。</w:t>
      </w:r>
    </w:p>
    <w:p>
      <w:pPr>
        <w:tabs>
          <w:tab w:val="left" w:pos="851"/>
        </w:tabs>
        <w:spacing w:before="0" w:after="0" w:afterAutospacing="0"/>
        <w:ind w:left="0" w:right="0" w:firstLine="420" w:firstLineChars="200"/>
        <w:rPr>
          <w:rFonts w:ascii="宋体" w:hAnsi="宋体"/>
        </w:rPr>
      </w:pPr>
      <w:r>
        <w:rPr>
          <w:rFonts w:hint="eastAsia" w:ascii="宋体" w:hAnsi="宋体"/>
        </w:rPr>
        <w:t>3.4.3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s>
        <w:spacing w:before="0" w:after="0" w:afterAutospacing="0"/>
        <w:ind w:left="0" w:right="0" w:firstLine="420" w:firstLineChars="200"/>
        <w:rPr>
          <w:rFonts w:ascii="宋体" w:hAnsi="宋体"/>
        </w:rPr>
      </w:pPr>
      <w:r>
        <w:rPr>
          <w:rFonts w:hint="eastAsia" w:ascii="宋体" w:hAnsi="宋体"/>
        </w:rPr>
        <w:t>3.4.4如果评审委员会对比选申请人提交的澄清、说明或补正依然存有疑问，可以对比选申请人进一步质疑。比选申请人应当相应地进一步澄清、说明或补正，直至评审委员会认为全部质疑得到解答。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s>
        <w:spacing w:before="0" w:after="0" w:afterAutospacing="0"/>
        <w:ind w:left="0" w:right="0" w:firstLine="420" w:firstLineChars="200"/>
        <w:rPr>
          <w:rFonts w:ascii="宋体" w:hAnsi="宋体"/>
        </w:rPr>
      </w:pPr>
      <w:r>
        <w:rPr>
          <w:rFonts w:hint="eastAsia" w:ascii="宋体" w:hAnsi="宋体"/>
        </w:rPr>
        <w:t>3.4.5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3.5</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综合评分由高到低顺序推荐中选候选人。综合评分相同时，则技术得分较高的排名靠前；如技术得分也相同，则价格得分较高的排名靠前；如价格得分也相同，则由评审委员会记名投票的方式按少数服从多数的原则决定其排名顺序。</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ascii="宋体" w:hAnsi="宋体"/>
          <w:b/>
        </w:rPr>
        <w:t>（2）不符合附表二《符合性评审表》规定的；</w:t>
      </w:r>
    </w:p>
    <w:p>
      <w:pPr>
        <w:tabs>
          <w:tab w:val="left" w:pos="1276"/>
        </w:tabs>
        <w:spacing w:before="0" w:after="0" w:afterAutospacing="0"/>
        <w:ind w:left="0" w:right="0" w:firstLine="422" w:firstLineChars="200"/>
        <w:jc w:val="left"/>
        <w:rPr>
          <w:rFonts w:ascii="宋体" w:hAnsi="宋体"/>
          <w:b/>
        </w:rPr>
      </w:pPr>
      <w:r>
        <w:rPr>
          <w:rFonts w:ascii="宋体" w:hAnsi="宋体"/>
          <w:b/>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ascii="宋体" w:hAnsi="宋体"/>
          <w:b/>
        </w:rPr>
        <w:t>（4）在比选申请文件中有虚假文件和/或资料的；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ascii="宋体" w:hAnsi="宋体"/>
          <w:b/>
        </w:rPr>
        <w:t>（5）比选申请文件中附有比选人不能接受的条件；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ascii="宋体" w:hAnsi="宋体"/>
          <w:b/>
        </w:rPr>
        <w:t>（6）比选申请文件实质上不响应比选文件的要求的；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ascii="宋体" w:hAnsi="宋体"/>
          <w:b/>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ascii="宋体" w:hAnsi="宋体"/>
          <w:b/>
        </w:rPr>
        <w:t>（8）比选申请人扰乱会场秩序，经劝阻仍然无理取闹的；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ascii="宋体" w:hAnsi="宋体"/>
          <w:b/>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ascii="宋体" w:hAnsi="宋体"/>
          <w:b/>
        </w:rPr>
        <w:t>（10）比选申请人以他人的名义比选申请、串通比选申请、以行贿手段谋取中选或者以其他弄虚作假方式比选申请的。</w:t>
      </w:r>
    </w:p>
    <w:p>
      <w:r>
        <w:rPr>
          <w:rFonts w:hint="eastAsia"/>
        </w:rPr>
        <w:br w:type="page"/>
      </w:r>
    </w:p>
    <w:p>
      <w:pPr>
        <w:pStyle w:val="6"/>
        <w:spacing w:after="0"/>
        <w:ind w:right="-57" w:firstLine="0"/>
        <w:rPr>
          <w:sz w:val="21"/>
          <w:szCs w:val="21"/>
        </w:rPr>
      </w:pPr>
      <w:r>
        <w:rPr>
          <w:rFonts w:hint="eastAsia"/>
          <w:sz w:val="21"/>
          <w:szCs w:val="21"/>
        </w:rPr>
        <w:t>附表一 资格审查表</w:t>
      </w:r>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28"/>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968"/>
        <w:gridCol w:w="1284"/>
        <w:gridCol w:w="1146"/>
        <w:gridCol w:w="234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2968"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284"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146"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349"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jc w:val="center"/>
              <w:rPr>
                <w:rFonts w:ascii="宋体" w:hAnsi="宋体"/>
              </w:rPr>
            </w:pPr>
            <w:r>
              <w:rPr>
                <w:rFonts w:ascii="宋体" w:hAnsi="宋体"/>
              </w:rPr>
              <w:t>1</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身份证明材料</w:t>
            </w:r>
          </w:p>
        </w:tc>
        <w:tc>
          <w:tcPr>
            <w:tcW w:w="2968" w:type="dxa"/>
            <w:vAlign w:val="center"/>
          </w:tcPr>
          <w:p>
            <w:pPr>
              <w:spacing w:before="0" w:after="0" w:afterAutospacing="0" w:line="240" w:lineRule="auto"/>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284" w:type="dxa"/>
            <w:vAlign w:val="center"/>
          </w:tcPr>
          <w:p>
            <w:pPr>
              <w:spacing w:before="0" w:after="0" w:afterAutospacing="0" w:line="240" w:lineRule="auto"/>
              <w:ind w:left="0" w:right="0" w:firstLine="0"/>
              <w:jc w:val="center"/>
              <w:rPr>
                <w:rFonts w:ascii="宋体" w:hAnsi="宋体"/>
              </w:rPr>
            </w:pPr>
            <w:r>
              <w:rPr>
                <w:rFonts w:hint="eastAsia" w:ascii="宋体" w:hAnsi="宋体"/>
              </w:rPr>
              <w:t>法定代表人授权书，法定代表人资格证明书和身份证复印件</w:t>
            </w:r>
          </w:p>
        </w:tc>
        <w:tc>
          <w:tcPr>
            <w:tcW w:w="1146" w:type="dxa"/>
            <w:vAlign w:val="center"/>
          </w:tcPr>
          <w:p>
            <w:pPr>
              <w:spacing w:before="0" w:after="0" w:afterAutospacing="0" w:line="240" w:lineRule="auto"/>
              <w:ind w:left="0" w:right="0" w:firstLine="0"/>
              <w:jc w:val="center"/>
              <w:rPr>
                <w:rFonts w:ascii="宋体" w:hAnsi="宋体"/>
              </w:rPr>
            </w:pPr>
          </w:p>
        </w:tc>
        <w:tc>
          <w:tcPr>
            <w:tcW w:w="2349" w:type="dxa"/>
            <w:vAlign w:val="center"/>
          </w:tcPr>
          <w:p>
            <w:pPr>
              <w:spacing w:before="0" w:after="0" w:afterAutospacing="0" w:line="240" w:lineRule="auto"/>
              <w:ind w:left="0" w:right="0" w:firstLine="0"/>
              <w:jc w:val="center"/>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jc w:val="center"/>
              <w:rPr>
                <w:rFonts w:ascii="宋体" w:hAnsi="宋体"/>
              </w:rPr>
            </w:pPr>
            <w:r>
              <w:rPr>
                <w:rFonts w:ascii="宋体" w:hAnsi="宋体"/>
              </w:rPr>
              <w:t>2</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比选申请人资格</w:t>
            </w:r>
          </w:p>
        </w:tc>
        <w:tc>
          <w:tcPr>
            <w:tcW w:w="2968" w:type="dxa"/>
            <w:vAlign w:val="center"/>
          </w:tcPr>
          <w:p>
            <w:pPr>
              <w:spacing w:before="0" w:after="0" w:afterAutospacing="0" w:line="240" w:lineRule="auto"/>
              <w:ind w:left="0" w:right="0" w:firstLine="0"/>
              <w:rPr>
                <w:rFonts w:ascii="宋体" w:hAnsi="宋体"/>
              </w:rPr>
            </w:pPr>
            <w:r>
              <w:rPr>
                <w:rFonts w:hint="eastAsia" w:ascii="宋体" w:hAnsi="宋体"/>
              </w:rPr>
              <w:t>比选申请人为中华人民共和国境内依法设立的法人或其他组织（若以分公司名义参与</w:t>
            </w:r>
            <w:r>
              <w:rPr>
                <w:rFonts w:hint="eastAsia" w:ascii="宋体" w:hAnsi="宋体"/>
                <w:lang w:eastAsia="zh-CN"/>
              </w:rPr>
              <w:t>比选申请</w:t>
            </w:r>
            <w:r>
              <w:rPr>
                <w:rFonts w:hint="eastAsia" w:ascii="宋体" w:hAnsi="宋体"/>
              </w:rPr>
              <w:t>，必须出具总公司授权参与的证明）。</w:t>
            </w:r>
          </w:p>
        </w:tc>
        <w:tc>
          <w:tcPr>
            <w:tcW w:w="1284" w:type="dxa"/>
            <w:vAlign w:val="center"/>
          </w:tcPr>
          <w:p>
            <w:pPr>
              <w:spacing w:before="0" w:after="0" w:afterAutospacing="0" w:line="240" w:lineRule="auto"/>
              <w:ind w:left="0" w:right="0" w:firstLine="0"/>
              <w:jc w:val="center"/>
              <w:rPr>
                <w:rFonts w:ascii="宋体" w:hAnsi="宋体"/>
              </w:rPr>
            </w:pPr>
            <w:r>
              <w:rPr>
                <w:rFonts w:hint="eastAsia" w:ascii="宋体" w:hAnsi="宋体"/>
              </w:rPr>
              <w:t>营业执照副本或事业单位法人证书等证明文件</w:t>
            </w:r>
          </w:p>
        </w:tc>
        <w:tc>
          <w:tcPr>
            <w:tcW w:w="1146" w:type="dxa"/>
            <w:vAlign w:val="center"/>
          </w:tcPr>
          <w:p>
            <w:pPr>
              <w:spacing w:before="0" w:after="0" w:afterAutospacing="0" w:line="240" w:lineRule="auto"/>
              <w:ind w:left="0" w:right="0" w:firstLine="0"/>
              <w:jc w:val="center"/>
              <w:rPr>
                <w:rFonts w:ascii="宋体" w:hAnsi="宋体"/>
              </w:rPr>
            </w:pPr>
          </w:p>
        </w:tc>
        <w:tc>
          <w:tcPr>
            <w:tcW w:w="2349" w:type="dxa"/>
            <w:vAlign w:val="center"/>
          </w:tcPr>
          <w:p>
            <w:pPr>
              <w:spacing w:before="0" w:after="0" w:afterAutospacing="0" w:line="240" w:lineRule="auto"/>
              <w:ind w:left="0" w:right="0" w:firstLine="0"/>
              <w:jc w:val="center"/>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437" w:type="dxa"/>
            <w:vAlign w:val="center"/>
          </w:tcPr>
          <w:p>
            <w:pPr>
              <w:spacing w:before="0" w:after="0" w:afterAutospacing="0"/>
              <w:ind w:left="0" w:right="0" w:firstLine="0"/>
              <w:jc w:val="center"/>
              <w:rPr>
                <w:rFonts w:ascii="宋体" w:hAnsi="宋体"/>
              </w:rPr>
            </w:pPr>
            <w:r>
              <w:rPr>
                <w:rFonts w:hint="eastAsia" w:ascii="宋体" w:hAnsi="宋体"/>
              </w:rPr>
              <w:t>3</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比选申请人资质</w:t>
            </w:r>
          </w:p>
        </w:tc>
        <w:tc>
          <w:tcPr>
            <w:tcW w:w="2968" w:type="dxa"/>
            <w:vAlign w:val="center"/>
          </w:tcPr>
          <w:p>
            <w:pPr>
              <w:spacing w:before="0" w:after="0" w:afterAutospacing="0" w:line="240" w:lineRule="auto"/>
              <w:ind w:left="0" w:right="0" w:firstLine="0"/>
            </w:pPr>
            <w:r>
              <w:rPr>
                <w:rFonts w:hint="eastAsia" w:ascii="宋体" w:hAnsi="宋体"/>
              </w:rPr>
              <w:t>比选申请人需具有CMA（检验检测机构资质认定证书）与CNAS（中国合格评定国家认可委员会实验室认可证书）资质。</w:t>
            </w:r>
          </w:p>
        </w:tc>
        <w:tc>
          <w:tcPr>
            <w:tcW w:w="1284" w:type="dxa"/>
            <w:vAlign w:val="center"/>
          </w:tcPr>
          <w:p>
            <w:pPr>
              <w:spacing w:before="0" w:after="0" w:afterAutospacing="0" w:line="240" w:lineRule="auto"/>
              <w:ind w:left="0" w:right="0" w:firstLine="0"/>
              <w:jc w:val="center"/>
              <w:rPr>
                <w:rFonts w:ascii="宋体" w:hAnsi="宋体"/>
              </w:rPr>
            </w:pPr>
            <w:r>
              <w:rPr>
                <w:rFonts w:hint="eastAsia" w:ascii="宋体" w:hAnsi="宋体"/>
              </w:rPr>
              <w:t>相应的资质证明材料</w:t>
            </w:r>
          </w:p>
        </w:tc>
        <w:tc>
          <w:tcPr>
            <w:tcW w:w="1146" w:type="dxa"/>
            <w:vAlign w:val="center"/>
          </w:tcPr>
          <w:p>
            <w:pPr>
              <w:spacing w:before="0" w:after="0" w:afterAutospacing="0" w:line="240" w:lineRule="auto"/>
              <w:ind w:left="0" w:right="0" w:firstLine="0"/>
              <w:jc w:val="center"/>
              <w:rPr>
                <w:rFonts w:ascii="宋体" w:hAnsi="宋体"/>
              </w:rPr>
            </w:pPr>
          </w:p>
        </w:tc>
        <w:tc>
          <w:tcPr>
            <w:tcW w:w="2349" w:type="dxa"/>
            <w:vAlign w:val="center"/>
          </w:tcPr>
          <w:p>
            <w:pPr>
              <w:spacing w:before="0" w:after="0" w:afterAutospacing="0" w:line="240" w:lineRule="auto"/>
              <w:ind w:left="0" w:right="0" w:firstLine="0"/>
              <w:jc w:val="center"/>
              <w:rPr>
                <w:rFonts w:ascii="宋体" w:hAnsi="宋体"/>
              </w:rPr>
            </w:pPr>
            <w:r>
              <w:rPr>
                <w:rFonts w:hint="eastAsia" w:ascii="宋体" w:hAnsi="宋体"/>
              </w:rPr>
              <w:t>提供CMA（检验检测机构资质认定证书）与CNAS（中国合格评定国家认可委员会实验室认可证书）资质</w:t>
            </w:r>
            <w:r>
              <w:rPr>
                <w:rFonts w:hint="eastAsia"/>
              </w:rPr>
              <w:t>证明材料：</w:t>
            </w:r>
            <w:r>
              <w:t>复印件</w:t>
            </w:r>
            <w:r>
              <w:rPr>
                <w:rFonts w:hint="eastAsia" w:ascii="宋体" w:hAnsi="宋体"/>
              </w:rPr>
              <w:t>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37" w:type="dxa"/>
            <w:vAlign w:val="center"/>
          </w:tcPr>
          <w:p>
            <w:pPr>
              <w:spacing w:before="0" w:after="0" w:afterAutospacing="0"/>
              <w:ind w:left="0" w:right="0" w:firstLine="0"/>
              <w:jc w:val="center"/>
              <w:rPr>
                <w:rFonts w:ascii="宋体" w:hAnsi="宋体"/>
              </w:rPr>
            </w:pPr>
            <w:r>
              <w:rPr>
                <w:rFonts w:hint="eastAsia" w:ascii="宋体" w:hAnsi="宋体"/>
              </w:rPr>
              <w:t>4</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业绩证明</w:t>
            </w:r>
          </w:p>
        </w:tc>
        <w:tc>
          <w:tcPr>
            <w:tcW w:w="2968" w:type="dxa"/>
            <w:vAlign w:val="center"/>
          </w:tcPr>
          <w:p>
            <w:pPr>
              <w:spacing w:before="0" w:after="0" w:afterAutospacing="0" w:line="240" w:lineRule="auto"/>
              <w:ind w:left="0" w:right="0" w:firstLine="0"/>
              <w:rPr>
                <w:rFonts w:ascii="宋体" w:hAnsi="宋体"/>
              </w:rPr>
            </w:pPr>
            <w:r>
              <w:rPr>
                <w:rFonts w:hint="eastAsia" w:ascii="宋体" w:hAnsi="宋体"/>
              </w:rPr>
              <w:t>比选申请人自201</w:t>
            </w:r>
            <w:r>
              <w:rPr>
                <w:rFonts w:hint="eastAsia" w:ascii="宋体" w:hAnsi="宋体"/>
                <w:lang w:val="en-US" w:eastAsia="zh-CN"/>
              </w:rPr>
              <w:t>8</w:t>
            </w:r>
            <w:r>
              <w:rPr>
                <w:rFonts w:hint="eastAsia" w:ascii="宋体" w:hAnsi="宋体"/>
              </w:rPr>
              <w:t>年1月1日（备注：近</w:t>
            </w:r>
            <w:r>
              <w:rPr>
                <w:rFonts w:hint="eastAsia" w:ascii="宋体" w:hAnsi="宋体"/>
                <w:lang w:val="en-US" w:eastAsia="zh-CN"/>
              </w:rPr>
              <w:t>5</w:t>
            </w:r>
            <w:r>
              <w:rPr>
                <w:rFonts w:hint="eastAsia" w:ascii="宋体" w:hAnsi="宋体"/>
              </w:rPr>
              <w:t>年）至截标时间至少拥有1项铁路或地铁车辆部件橡胶件检测业绩</w:t>
            </w:r>
            <w:r>
              <w:rPr>
                <w:rFonts w:hint="eastAsia" w:ascii="宋体" w:hAnsi="宋体"/>
                <w:lang w:eastAsia="zh-CN"/>
              </w:rPr>
              <w:t>。</w:t>
            </w:r>
          </w:p>
        </w:tc>
        <w:tc>
          <w:tcPr>
            <w:tcW w:w="1284" w:type="dxa"/>
            <w:vAlign w:val="center"/>
          </w:tcPr>
          <w:p>
            <w:pPr>
              <w:spacing w:before="0" w:after="0" w:afterAutospacing="0" w:line="240" w:lineRule="auto"/>
              <w:ind w:left="0" w:right="0" w:firstLine="0"/>
              <w:jc w:val="center"/>
              <w:rPr>
                <w:rFonts w:ascii="宋体" w:hAnsi="宋体"/>
              </w:rPr>
            </w:pPr>
            <w:r>
              <w:rPr>
                <w:rFonts w:hint="eastAsia" w:ascii="宋体" w:hAnsi="宋体"/>
              </w:rPr>
              <w:t>相应的业绩证明材料</w:t>
            </w:r>
          </w:p>
        </w:tc>
        <w:tc>
          <w:tcPr>
            <w:tcW w:w="1146" w:type="dxa"/>
            <w:vAlign w:val="center"/>
          </w:tcPr>
          <w:p>
            <w:pPr>
              <w:spacing w:before="0" w:after="0" w:afterAutospacing="0" w:line="240" w:lineRule="auto"/>
              <w:ind w:left="0" w:right="0" w:firstLine="0"/>
              <w:jc w:val="center"/>
              <w:rPr>
                <w:rFonts w:ascii="宋体" w:hAnsi="宋体"/>
              </w:rPr>
            </w:pPr>
          </w:p>
        </w:tc>
        <w:tc>
          <w:tcPr>
            <w:tcW w:w="2349" w:type="dxa"/>
            <w:vAlign w:val="center"/>
          </w:tcPr>
          <w:p>
            <w:pPr>
              <w:spacing w:before="0" w:after="0" w:afterAutospacing="0" w:line="240" w:lineRule="auto"/>
              <w:ind w:left="0" w:right="0" w:firstLine="0"/>
              <w:jc w:val="center"/>
              <w:rPr>
                <w:rFonts w:ascii="宋体" w:hAnsi="宋体"/>
              </w:rPr>
            </w:pPr>
            <w:r>
              <w:rPr>
                <w:rFonts w:hint="eastAsia"/>
              </w:rPr>
              <w:t>提供相应的业绩证明材料，满足以下条件之一：①合同文件；②业主（采购方）开具的证明材料，但所提供的材料须能明确反映项目特征，复印件加盖比选申请人公章</w:t>
            </w:r>
            <w:r>
              <w:rPr>
                <w:rFonts w:hint="eastAsia" w:ascii="宋体" w:hAnsi="宋体"/>
              </w:rPr>
              <w:t>；不接受分包或转包的合同业绩。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74" w:hRule="atLeast"/>
          <w:jc w:val="center"/>
        </w:trPr>
        <w:tc>
          <w:tcPr>
            <w:tcW w:w="437" w:type="dxa"/>
            <w:vAlign w:val="center"/>
          </w:tcPr>
          <w:p>
            <w:pPr>
              <w:spacing w:before="0" w:after="0" w:afterAutospacing="0"/>
              <w:ind w:left="0" w:right="0" w:firstLine="0"/>
              <w:jc w:val="center"/>
              <w:rPr>
                <w:rFonts w:ascii="宋体" w:hAnsi="宋体"/>
              </w:rPr>
            </w:pPr>
            <w:r>
              <w:rPr>
                <w:rFonts w:hint="eastAsia" w:ascii="宋体" w:hAnsi="宋体"/>
              </w:rPr>
              <w:t>5</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承诺书</w:t>
            </w:r>
          </w:p>
        </w:tc>
        <w:tc>
          <w:tcPr>
            <w:tcW w:w="2968" w:type="dxa"/>
            <w:vAlign w:val="center"/>
          </w:tcPr>
          <w:p>
            <w:pPr>
              <w:spacing w:before="0" w:after="0" w:afterAutospacing="0" w:line="240" w:lineRule="auto"/>
              <w:ind w:left="0" w:right="0" w:firstLine="0"/>
              <w:jc w:val="center"/>
              <w:rPr>
                <w:rFonts w:ascii="宋体" w:hAnsi="宋体"/>
              </w:rPr>
            </w:pPr>
            <w:r>
              <w:rPr>
                <w:rFonts w:hint="eastAsia" w:ascii="宋体" w:hAnsi="宋体"/>
              </w:rPr>
              <w:t>(1)</w:t>
            </w:r>
            <w:r>
              <w:rPr>
                <w:rFonts w:hint="eastAsia" w:ascii="宋体" w:hAnsi="宋体"/>
                <w:lang w:eastAsia="zh-CN"/>
              </w:rPr>
              <w:t>比选申请人</w:t>
            </w:r>
            <w:r>
              <w:rPr>
                <w:rFonts w:hint="eastAsia" w:ascii="宋体" w:hAnsi="宋体"/>
              </w:rPr>
              <w:t>没有处于被责令停业.(2)</w:t>
            </w:r>
            <w:r>
              <w:rPr>
                <w:rFonts w:hint="eastAsia" w:ascii="宋体" w:hAnsi="宋体"/>
                <w:lang w:eastAsia="zh-CN"/>
              </w:rPr>
              <w:t>比选申请</w:t>
            </w:r>
            <w:r>
              <w:rPr>
                <w:rFonts w:hint="eastAsia" w:ascii="宋体" w:hAnsi="宋体"/>
              </w:rPr>
              <w:t>资格没有被住建部或应急管理部（原国家安监总局）或广西区或南宁市建设行政主管部门取消。(3)财产没有处于被接管、破产状态。(4)在</w:t>
            </w:r>
            <w:r>
              <w:rPr>
                <w:rFonts w:hint="eastAsia" w:ascii="宋体" w:hAnsi="宋体"/>
                <w:lang w:eastAsia="zh-CN"/>
              </w:rPr>
              <w:t>比选申请</w:t>
            </w:r>
            <w:r>
              <w:rPr>
                <w:rFonts w:hint="eastAsia" w:ascii="宋体" w:hAnsi="宋体"/>
              </w:rPr>
              <w:t>截止时间前3年内没有骗取中标或严重违约或重大质量安全责任事故。（5）与其他比选申请人之间不存在单位负责人为同一人或者控股、管理关系的情况。（6）比选申请人未列入比选人不良信用名单。</w:t>
            </w:r>
          </w:p>
        </w:tc>
        <w:tc>
          <w:tcPr>
            <w:tcW w:w="1284" w:type="dxa"/>
            <w:vAlign w:val="center"/>
          </w:tcPr>
          <w:p>
            <w:pPr>
              <w:spacing w:before="0" w:after="0" w:afterAutospacing="0" w:line="240" w:lineRule="auto"/>
              <w:ind w:left="0" w:right="0" w:firstLine="0"/>
              <w:jc w:val="center"/>
              <w:rPr>
                <w:rFonts w:ascii="宋体" w:hAnsi="宋体"/>
              </w:rPr>
            </w:pPr>
            <w:r>
              <w:rPr>
                <w:rFonts w:hint="eastAsia" w:ascii="宋体" w:hAnsi="宋体"/>
              </w:rPr>
              <w:t>承诺书原件</w:t>
            </w:r>
          </w:p>
        </w:tc>
        <w:tc>
          <w:tcPr>
            <w:tcW w:w="1146" w:type="dxa"/>
            <w:vAlign w:val="center"/>
          </w:tcPr>
          <w:p>
            <w:pPr>
              <w:spacing w:before="0" w:after="0" w:afterAutospacing="0" w:line="240" w:lineRule="auto"/>
              <w:ind w:left="0" w:right="0" w:firstLine="0"/>
              <w:jc w:val="center"/>
              <w:rPr>
                <w:rFonts w:ascii="宋体" w:hAnsi="宋体"/>
              </w:rPr>
            </w:pPr>
          </w:p>
        </w:tc>
        <w:tc>
          <w:tcPr>
            <w:tcW w:w="2349" w:type="dxa"/>
            <w:vAlign w:val="center"/>
          </w:tcPr>
          <w:p>
            <w:pPr>
              <w:spacing w:before="0" w:after="0" w:afterAutospacing="0" w:line="240" w:lineRule="auto"/>
              <w:ind w:left="0" w:right="0" w:firstLine="0"/>
              <w:jc w:val="center"/>
              <w:rPr>
                <w:rFonts w:ascii="宋体" w:hAnsi="宋体"/>
              </w:rPr>
            </w:pPr>
            <w:r>
              <w:rPr>
                <w:rFonts w:hint="eastAsia" w:ascii="宋体" w:hAnsi="宋体"/>
              </w:rPr>
              <w:t>按规定格式提供承诺书</w:t>
            </w:r>
          </w:p>
        </w:tc>
      </w:tr>
    </w:tbl>
    <w:p>
      <w:pPr>
        <w:snapToGrid w:val="0"/>
        <w:spacing w:before="0" w:after="0" w:afterAutospacing="0" w:line="240" w:lineRule="auto"/>
        <w:ind w:left="0" w:right="0" w:firstLine="0"/>
        <w:rPr>
          <w:rFonts w:ascii="宋体" w:hAnsi="宋体"/>
          <w:b/>
        </w:rPr>
      </w:pPr>
      <w:r>
        <w:rPr>
          <w:rFonts w:hint="eastAsia" w:ascii="宋体" w:hAnsi="宋体"/>
          <w:b/>
        </w:rPr>
        <w:t>注：</w:t>
      </w:r>
    </w:p>
    <w:p>
      <w:pPr>
        <w:snapToGrid w:val="0"/>
        <w:spacing w:before="0" w:after="0" w:afterAutospacing="0" w:line="240" w:lineRule="auto"/>
        <w:ind w:left="0" w:right="0" w:firstLine="0"/>
        <w:rPr>
          <w:rFonts w:ascii="宋体" w:hAnsi="宋体"/>
          <w:b/>
        </w:rPr>
      </w:pPr>
      <w:r>
        <w:rPr>
          <w:rFonts w:hint="eastAsia" w:ascii="宋体" w:hAnsi="宋体"/>
          <w:b/>
        </w:rPr>
        <w:t>1.比选申请文件中的所有证明资料的复印件均应加盖比选申请人公章，原件备查；</w:t>
      </w:r>
    </w:p>
    <w:p>
      <w:pPr>
        <w:snapToGrid w:val="0"/>
        <w:spacing w:before="0" w:after="0" w:afterAutospacing="0" w:line="240" w:lineRule="auto"/>
        <w:ind w:left="0" w:right="0" w:firstLine="0"/>
        <w:rPr>
          <w:rFonts w:ascii="宋体" w:hAnsi="宋体"/>
          <w:b/>
        </w:rPr>
      </w:pPr>
      <w:r>
        <w:rPr>
          <w:rFonts w:hint="eastAsia" w:ascii="宋体" w:hAnsi="宋体"/>
          <w:b/>
        </w:rPr>
        <w:t>2. 评审结果填写：合格打√，不合格打×，凡评审结果有一项不合格者，结论为不通过。</w:t>
      </w:r>
    </w:p>
    <w:p>
      <w:pPr>
        <w:snapToGrid w:val="0"/>
        <w:spacing w:before="0" w:after="0" w:afterAutospacing="0" w:line="240" w:lineRule="auto"/>
        <w:ind w:left="0" w:right="0" w:firstLine="0"/>
        <w:rPr>
          <w:rFonts w:ascii="宋体" w:hAnsi="宋体"/>
          <w:b/>
        </w:rPr>
      </w:pPr>
      <w:r>
        <w:rPr>
          <w:rFonts w:hint="eastAsia" w:ascii="宋体" w:hAnsi="宋体"/>
          <w:b/>
        </w:rPr>
        <w:t>3.未通过资格审查，则作比选申请被否决处理并不得进入下一阶段评审。</w:t>
      </w:r>
    </w:p>
    <w:p>
      <w:pPr>
        <w:pStyle w:val="6"/>
        <w:spacing w:after="0"/>
        <w:ind w:right="-57" w:firstLine="0"/>
      </w:pPr>
      <w:r>
        <w:rPr>
          <w:rFonts w:ascii="宋体" w:hAnsi="宋体"/>
        </w:rPr>
        <w:br w:type="page"/>
      </w:r>
      <w:r>
        <w:rPr>
          <w:sz w:val="21"/>
          <w:szCs w:val="21"/>
        </w:rPr>
        <w:t xml:space="preserve">附表二 </w:t>
      </w:r>
      <w:r>
        <w:rPr>
          <w:rFonts w:hint="eastAsia"/>
          <w:sz w:val="21"/>
          <w:szCs w:val="21"/>
        </w:rPr>
        <w:t>符合性</w:t>
      </w:r>
      <w:r>
        <w:rPr>
          <w:sz w:val="21"/>
          <w:szCs w:val="21"/>
        </w:rPr>
        <w:t>评审表</w:t>
      </w:r>
    </w:p>
    <w:p>
      <w:pPr>
        <w:widowControl w:val="0"/>
        <w:spacing w:before="0" w:after="0" w:afterAutospacing="0"/>
        <w:ind w:left="0" w:right="0" w:firstLine="0"/>
        <w:jc w:val="center"/>
        <w:rPr>
          <w:rFonts w:ascii="Calibri" w:hAnsi="宋体"/>
          <w:b/>
          <w:kern w:val="2"/>
          <w:sz w:val="24"/>
          <w:szCs w:val="24"/>
        </w:rPr>
      </w:pPr>
      <w:r>
        <w:rPr>
          <w:rFonts w:hint="eastAsia" w:ascii="Calibri" w:hAnsi="宋体"/>
          <w:b/>
          <w:kern w:val="2"/>
          <w:sz w:val="24"/>
          <w:szCs w:val="24"/>
        </w:rPr>
        <w:t>符合性评审表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ascii="宋体"/>
              </w:rPr>
              <w:t>比选申请文件按规定签署和盖章</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ascii="宋体"/>
              </w:rPr>
              <w:t>比选申请文件的实质性内容按规定填写、内容齐全；（按比选文件第四章节规定格式填写的）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ascii="宋体"/>
              </w:rPr>
              <w:t>比选申请</w:t>
            </w:r>
            <w:r>
              <w:rPr>
                <w:rFonts w:hint="eastAsia" w:ascii="宋体"/>
              </w:rPr>
              <w:t>人</w:t>
            </w:r>
            <w:r>
              <w:rPr>
                <w:rFonts w:ascii="宋体"/>
              </w:rPr>
              <w:t>在资格审查文件或技术文件中未透露有关报价的信息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ascii="宋体"/>
              </w:rPr>
              <w:t>在比选申请文件中无虚假文件或资料的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pPr>
              <w:ind w:left="0" w:firstLine="0"/>
            </w:pPr>
            <w:r>
              <w:rPr>
                <w:rFonts w:ascii="宋体"/>
              </w:rPr>
              <w:t>技术部分响应、偏离情况说明无负偏离的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rPr>
                <w:rFonts w:hAnsi="宋体"/>
              </w:rPr>
            </w:pPr>
            <w:r>
              <w:rPr>
                <w:rFonts w:ascii="宋体"/>
              </w:rPr>
              <w:t>商务响应表无负偏离的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ascii="宋体" w:hAnsi="宋体"/>
              </w:rPr>
              <w:t>比选申请文件按比选文件要求提供按期完成承诺书的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8</w:t>
            </w:r>
          </w:p>
        </w:tc>
        <w:tc>
          <w:tcPr>
            <w:tcW w:w="6096" w:type="dxa"/>
            <w:vAlign w:val="center"/>
          </w:tcPr>
          <w:p>
            <w:pPr>
              <w:ind w:left="0" w:firstLine="0"/>
            </w:pPr>
            <w:r>
              <w:rPr>
                <w:rFonts w:ascii="宋体"/>
              </w:rPr>
              <w:t>无比选文件、法律、法规规定的其他否决比选申请条件</w:t>
            </w:r>
          </w:p>
        </w:tc>
        <w:tc>
          <w:tcPr>
            <w:tcW w:w="1134" w:type="dxa"/>
          </w:tcPr>
          <w:p>
            <w:pPr>
              <w:ind w:left="0" w:firstLine="0"/>
            </w:pPr>
          </w:p>
        </w:tc>
        <w:tc>
          <w:tcPr>
            <w:tcW w:w="1098" w:type="dxa"/>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r>
        <w:rPr>
          <w:rFonts w:hAnsi="宋体"/>
          <w:b/>
          <w:sz w:val="24"/>
          <w:szCs w:val="24"/>
        </w:rPr>
        <w:br w:type="page"/>
      </w:r>
    </w:p>
    <w:p>
      <w:pPr>
        <w:pStyle w:val="6"/>
        <w:rPr>
          <w:sz w:val="21"/>
          <w:szCs w:val="21"/>
        </w:rPr>
      </w:pPr>
      <w:r>
        <w:rPr>
          <w:rFonts w:hint="eastAsia"/>
          <w:sz w:val="21"/>
          <w:szCs w:val="21"/>
        </w:rPr>
        <w:t>附表三 技术文件评分标准表</w:t>
      </w:r>
    </w:p>
    <w:p>
      <w:pPr>
        <w:widowControl w:val="0"/>
        <w:spacing w:before="0" w:after="0" w:afterAutospacing="0"/>
        <w:ind w:left="0" w:right="0" w:firstLine="0"/>
        <w:jc w:val="center"/>
        <w:rPr>
          <w:rFonts w:ascii="Calibri" w:hAnsi="宋体"/>
          <w:b/>
          <w:kern w:val="2"/>
          <w:sz w:val="24"/>
          <w:szCs w:val="24"/>
        </w:rPr>
      </w:pPr>
      <w:r>
        <w:rPr>
          <w:rFonts w:hint="eastAsia" w:ascii="Calibri" w:hAnsi="宋体"/>
          <w:b/>
          <w:kern w:val="2"/>
          <w:sz w:val="24"/>
          <w:szCs w:val="24"/>
        </w:rPr>
        <w:t>技术文件评分标准表</w:t>
      </w:r>
    </w:p>
    <w:tbl>
      <w:tblPr>
        <w:tblStyle w:val="28"/>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580"/>
        <w:gridCol w:w="1250"/>
        <w:gridCol w:w="5795"/>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522" w:type="dxa"/>
            <w:vAlign w:val="center"/>
          </w:tcPr>
          <w:p>
            <w:pPr>
              <w:widowControl w:val="0"/>
              <w:spacing w:before="0" w:after="0" w:afterAutospacing="0" w:line="276" w:lineRule="auto"/>
              <w:ind w:left="0" w:right="0" w:firstLine="0"/>
              <w:jc w:val="center"/>
              <w:rPr>
                <w:rFonts w:ascii="宋体" w:hAnsi="宋体"/>
                <w:b/>
                <w:bCs/>
                <w:kern w:val="2"/>
              </w:rPr>
            </w:pPr>
            <w:r>
              <w:rPr>
                <w:rFonts w:ascii="宋体" w:hAnsi="宋体"/>
                <w:b/>
                <w:bCs/>
                <w:kern w:val="2"/>
              </w:rPr>
              <w:t>序号</w:t>
            </w:r>
          </w:p>
        </w:tc>
        <w:tc>
          <w:tcPr>
            <w:tcW w:w="1580" w:type="dxa"/>
            <w:vAlign w:val="center"/>
          </w:tcPr>
          <w:p>
            <w:pPr>
              <w:widowControl w:val="0"/>
              <w:spacing w:before="0" w:after="0" w:afterAutospacing="0" w:line="276" w:lineRule="auto"/>
              <w:ind w:left="0" w:right="0" w:firstLine="0"/>
              <w:jc w:val="center"/>
              <w:rPr>
                <w:rFonts w:ascii="宋体" w:hAnsi="宋体"/>
                <w:b/>
                <w:bCs/>
                <w:kern w:val="2"/>
              </w:rPr>
            </w:pPr>
            <w:r>
              <w:rPr>
                <w:rFonts w:hint="eastAsia" w:ascii="宋体" w:hAnsi="宋体"/>
                <w:b/>
                <w:bCs/>
                <w:kern w:val="2"/>
              </w:rPr>
              <w:t>评审内容及分值</w:t>
            </w:r>
          </w:p>
        </w:tc>
        <w:tc>
          <w:tcPr>
            <w:tcW w:w="1250" w:type="dxa"/>
            <w:vAlign w:val="center"/>
          </w:tcPr>
          <w:p>
            <w:pPr>
              <w:widowControl w:val="0"/>
              <w:spacing w:before="0" w:after="0" w:afterAutospacing="0" w:line="276" w:lineRule="auto"/>
              <w:ind w:left="0" w:right="0" w:firstLine="0"/>
              <w:jc w:val="center"/>
              <w:rPr>
                <w:rFonts w:ascii="宋体" w:hAnsi="宋体"/>
                <w:b/>
                <w:bCs/>
                <w:kern w:val="2"/>
              </w:rPr>
            </w:pPr>
            <w:r>
              <w:rPr>
                <w:rFonts w:ascii="宋体" w:hAnsi="宋体"/>
                <w:b/>
                <w:bCs/>
                <w:kern w:val="2"/>
              </w:rPr>
              <w:t>标准分</w:t>
            </w:r>
          </w:p>
        </w:tc>
        <w:tc>
          <w:tcPr>
            <w:tcW w:w="5795" w:type="dxa"/>
            <w:vAlign w:val="center"/>
          </w:tcPr>
          <w:p>
            <w:pPr>
              <w:widowControl w:val="0"/>
              <w:spacing w:before="0" w:after="0" w:afterAutospacing="0" w:line="276" w:lineRule="auto"/>
              <w:ind w:left="0" w:right="0" w:firstLine="0"/>
              <w:jc w:val="center"/>
              <w:rPr>
                <w:rFonts w:ascii="宋体" w:hAnsi="宋体"/>
                <w:b/>
                <w:bCs/>
                <w:kern w:val="2"/>
              </w:rPr>
            </w:pPr>
            <w:r>
              <w:rPr>
                <w:rFonts w:hint="eastAsia" w:ascii="宋体" w:hAnsi="宋体"/>
                <w:b/>
                <w:bCs/>
                <w:kern w:val="2"/>
              </w:rPr>
              <w:t>评审标准</w:t>
            </w:r>
          </w:p>
        </w:tc>
        <w:tc>
          <w:tcPr>
            <w:tcW w:w="678" w:type="dxa"/>
            <w:vAlign w:val="center"/>
          </w:tcPr>
          <w:p>
            <w:pPr>
              <w:widowControl w:val="0"/>
              <w:spacing w:before="0" w:after="0" w:afterAutospacing="0" w:line="276" w:lineRule="auto"/>
              <w:ind w:left="0" w:right="0" w:firstLine="0"/>
              <w:jc w:val="center"/>
              <w:rPr>
                <w:rFonts w:ascii="宋体" w:hAnsi="宋体"/>
                <w:b/>
                <w:bCs/>
                <w:kern w:val="2"/>
              </w:rPr>
            </w:pPr>
            <w:r>
              <w:rPr>
                <w:rFonts w:hint="eastAsia" w:ascii="宋体" w:hAnsi="宋体"/>
                <w:b/>
                <w:bCs/>
                <w:kern w:val="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522" w:type="dxa"/>
            <w:vAlign w:val="center"/>
          </w:tcPr>
          <w:p>
            <w:pPr>
              <w:widowControl w:val="0"/>
              <w:spacing w:before="0" w:after="0" w:afterAutospacing="0" w:line="276" w:lineRule="auto"/>
              <w:ind w:left="0" w:right="0" w:firstLine="0"/>
              <w:rPr>
                <w:rFonts w:hint="eastAsia" w:eastAsia="宋体"/>
                <w:lang w:val="en-US" w:eastAsia="zh-CN"/>
              </w:rPr>
            </w:pPr>
            <w:r>
              <w:rPr>
                <w:rFonts w:hint="eastAsia"/>
                <w:lang w:val="en-US" w:eastAsia="zh-CN"/>
              </w:rPr>
              <w:t>1</w:t>
            </w:r>
          </w:p>
        </w:tc>
        <w:tc>
          <w:tcPr>
            <w:tcW w:w="1580" w:type="dxa"/>
            <w:vAlign w:val="center"/>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技术人员资质</w:t>
            </w:r>
            <w:r>
              <w:rPr>
                <w:rFonts w:hint="eastAsia"/>
                <w:lang w:val="en-US" w:eastAsia="zh-CN"/>
              </w:rPr>
              <w:t>（满分4分）</w:t>
            </w:r>
          </w:p>
        </w:tc>
        <w:tc>
          <w:tcPr>
            <w:tcW w:w="1250" w:type="dxa"/>
            <w:vAlign w:val="center"/>
          </w:tcPr>
          <w:p>
            <w:pPr>
              <w:widowControl w:val="0"/>
              <w:spacing w:before="0" w:after="0" w:afterAutospacing="0" w:line="276" w:lineRule="auto"/>
              <w:ind w:left="0" w:right="0" w:firstLine="0"/>
              <w:rPr>
                <w:rFonts w:hint="eastAsia" w:ascii="宋体" w:hAnsi="宋体" w:eastAsia="宋体"/>
                <w:bCs/>
                <w:kern w:val="2"/>
                <w:lang w:val="en-US" w:eastAsia="zh-CN"/>
              </w:rPr>
            </w:pPr>
            <w:r>
              <w:rPr>
                <w:rFonts w:hint="eastAsia" w:ascii="宋体" w:hAnsi="宋体"/>
                <w:bCs/>
                <w:kern w:val="2"/>
              </w:rPr>
              <w:t>0≤m≤</w:t>
            </w:r>
            <w:r>
              <w:rPr>
                <w:rFonts w:hint="eastAsia" w:ascii="宋体" w:hAnsi="宋体"/>
                <w:bCs/>
                <w:kern w:val="2"/>
                <w:lang w:val="en-US" w:eastAsia="zh-CN"/>
              </w:rPr>
              <w:t>4</w:t>
            </w:r>
          </w:p>
        </w:tc>
        <w:tc>
          <w:tcPr>
            <w:tcW w:w="5795" w:type="dxa"/>
            <w:vAlign w:val="center"/>
          </w:tcPr>
          <w:p>
            <w:pPr>
              <w:widowControl w:val="0"/>
              <w:spacing w:before="0" w:after="0" w:afterAutospacing="0" w:line="276" w:lineRule="auto"/>
              <w:ind w:left="0" w:right="0" w:firstLine="0"/>
            </w:pPr>
            <w:r>
              <w:rPr>
                <w:rFonts w:hint="eastAsia"/>
              </w:rPr>
              <w:t>投入本项目技术人员曾作为技术人员参与合同金额不少于10万元的铁路或地铁车辆橡胶件检测项目的，每参与1项（多位技术人员参与同一项目按照1项业绩计算）得2分，满分</w:t>
            </w:r>
            <w:r>
              <w:rPr>
                <w:rFonts w:hint="eastAsia"/>
                <w:lang w:val="en-US" w:eastAsia="zh-CN"/>
              </w:rPr>
              <w:t>4</w:t>
            </w:r>
            <w:r>
              <w:rPr>
                <w:rFonts w:hint="eastAsia"/>
              </w:rPr>
              <w:t>分。</w:t>
            </w:r>
          </w:p>
          <w:p>
            <w:pPr>
              <w:widowControl w:val="0"/>
              <w:spacing w:before="0" w:after="0" w:afterAutospacing="0" w:line="276" w:lineRule="auto"/>
              <w:ind w:left="0" w:right="0" w:firstLine="0"/>
            </w:pPr>
            <w:r>
              <w:rPr>
                <w:rFonts w:hint="eastAsia"/>
              </w:rPr>
              <w:t>证明材料：</w:t>
            </w:r>
          </w:p>
          <w:p>
            <w:pPr>
              <w:widowControl w:val="0"/>
              <w:numPr>
                <w:ins w:id="17" w:author="小妖" w:date="2023-01-06T16:14:00Z"/>
              </w:numPr>
              <w:spacing w:before="0" w:after="0" w:afterAutospacing="0" w:line="276" w:lineRule="auto"/>
              <w:ind w:left="0" w:right="0" w:firstLine="0"/>
            </w:pPr>
            <w:r>
              <w:rPr>
                <w:rFonts w:hint="eastAsia"/>
              </w:rPr>
              <w:t>合同或业主（采购方）证明，合同或业主证明文件中须体现出合同双方、合同签订时间、合同服务、检测部件、在项目中担任职位等内容，否则视为无效证明文件，复印件加盖比选申请人公章。</w:t>
            </w:r>
          </w:p>
        </w:tc>
        <w:tc>
          <w:tcPr>
            <w:tcW w:w="678" w:type="dxa"/>
            <w:vAlign w:val="center"/>
          </w:tcPr>
          <w:p>
            <w:pPr>
              <w:widowControl w:val="0"/>
              <w:spacing w:before="0" w:after="0" w:afterAutospacing="0" w:line="276" w:lineRule="auto"/>
              <w:ind w:left="0" w:right="0" w:firstLine="0"/>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522" w:type="dxa"/>
            <w:vMerge w:val="restart"/>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rPr>
              <w:t>2</w:t>
            </w:r>
          </w:p>
        </w:tc>
        <w:tc>
          <w:tcPr>
            <w:tcW w:w="1580" w:type="dxa"/>
            <w:vMerge w:val="restart"/>
            <w:vAlign w:val="center"/>
          </w:tcPr>
          <w:p>
            <w:pPr>
              <w:widowControl w:val="0"/>
              <w:spacing w:before="0" w:after="0" w:afterAutospacing="0" w:line="276" w:lineRule="auto"/>
              <w:ind w:left="0" w:right="0" w:firstLine="0"/>
              <w:rPr>
                <w:rFonts w:ascii="宋体" w:hAnsi="宋体"/>
                <w:bCs/>
                <w:kern w:val="2"/>
              </w:rPr>
            </w:pPr>
            <w:r>
              <w:rPr>
                <w:rFonts w:hint="eastAsia"/>
              </w:rPr>
              <w:t>橡胶件检测</w:t>
            </w:r>
            <w:r>
              <w:rPr>
                <w:rFonts w:hint="eastAsia" w:ascii="宋体" w:hAnsi="宋体" w:cs="宋体"/>
              </w:rPr>
              <w:t>方案（满分</w:t>
            </w:r>
            <w:r>
              <w:rPr>
                <w:rFonts w:hint="eastAsia" w:ascii="宋体" w:hAnsi="宋体" w:cs="宋体"/>
                <w:lang w:val="en-US" w:eastAsia="zh-CN"/>
              </w:rPr>
              <w:t>2</w:t>
            </w:r>
            <w:r>
              <w:rPr>
                <w:rFonts w:hint="eastAsia" w:ascii="宋体" w:hAnsi="宋体" w:cs="宋体"/>
              </w:rPr>
              <w:t>0分）</w:t>
            </w:r>
          </w:p>
        </w:tc>
        <w:tc>
          <w:tcPr>
            <w:tcW w:w="1250" w:type="dxa"/>
            <w:vAlign w:val="center"/>
          </w:tcPr>
          <w:p>
            <w:pPr>
              <w:snapToGrid w:val="0"/>
              <w:spacing w:line="288" w:lineRule="auto"/>
              <w:jc w:val="center"/>
              <w:rPr>
                <w:rFonts w:ascii="宋体" w:hAnsi="宋体"/>
              </w:rPr>
            </w:pPr>
            <w:r>
              <w:rPr>
                <w:rFonts w:hint="eastAsia" w:ascii="宋体" w:hAnsi="宋体"/>
                <w:lang w:val="en-US" w:eastAsia="zh-CN"/>
              </w:rPr>
              <w:t>16</w:t>
            </w:r>
            <w:r>
              <w:rPr>
                <w:rFonts w:ascii="宋体" w:hAnsi="宋体"/>
              </w:rPr>
              <w:t>＜</w:t>
            </w:r>
            <w:r>
              <w:rPr>
                <w:rFonts w:hint="eastAsia" w:ascii="宋体" w:hAnsi="宋体"/>
              </w:rPr>
              <w:t>m≤</w:t>
            </w:r>
            <w:r>
              <w:rPr>
                <w:rFonts w:hint="eastAsia" w:ascii="宋体" w:hAnsi="宋体"/>
                <w:lang w:val="en-US" w:eastAsia="zh-CN"/>
              </w:rPr>
              <w:t>2</w:t>
            </w:r>
            <w:r>
              <w:rPr>
                <w:rFonts w:hint="eastAsia" w:ascii="宋体" w:hAnsi="宋体"/>
              </w:rPr>
              <w:t>0</w:t>
            </w:r>
          </w:p>
        </w:tc>
        <w:tc>
          <w:tcPr>
            <w:tcW w:w="5795" w:type="dxa"/>
            <w:vAlign w:val="center"/>
          </w:tcPr>
          <w:p>
            <w:pPr>
              <w:widowControl w:val="0"/>
              <w:spacing w:before="0" w:after="0" w:afterAutospacing="0" w:line="276" w:lineRule="auto"/>
              <w:ind w:left="0" w:right="0" w:firstLine="0"/>
              <w:rPr>
                <w:rFonts w:ascii="宋体" w:hAnsi="宋体"/>
                <w:bCs/>
                <w:kern w:val="2"/>
              </w:rPr>
            </w:pPr>
            <w:r>
              <w:rPr>
                <w:rFonts w:hint="eastAsia"/>
              </w:rPr>
              <w:t>检测方案包含：检测部件原理、试验内容及技术要求、</w:t>
            </w:r>
            <w:r>
              <w:t>检测</w:t>
            </w:r>
            <w:r>
              <w:rPr>
                <w:rFonts w:hint="eastAsia"/>
              </w:rPr>
              <w:t>计划、物料清单</w:t>
            </w:r>
            <w:r>
              <w:t>、人员配置</w:t>
            </w:r>
            <w:r>
              <w:rPr>
                <w:rFonts w:hint="eastAsia"/>
              </w:rPr>
              <w:t>等内容。方案详细、针对性强，措施具体，其中：①熟悉检测部件的功能特性，能对检测部件原理进行充分解释</w:t>
            </w:r>
            <w:r>
              <w:t>；</w:t>
            </w:r>
            <w:r>
              <w:rPr>
                <w:rFonts w:hint="eastAsia"/>
              </w:rPr>
              <w:t>②对本项目试验内容及技术要求有深入的理解，方案试验内容优于用户需求书要求；③</w:t>
            </w:r>
            <w:r>
              <w:t>检测</w:t>
            </w:r>
            <w:r>
              <w:rPr>
                <w:rFonts w:hint="eastAsia"/>
              </w:rPr>
              <w:t>计划</w:t>
            </w:r>
            <w:r>
              <w:t>合理</w:t>
            </w:r>
            <w:r>
              <w:rPr>
                <w:rFonts w:hint="eastAsia"/>
              </w:rPr>
              <w:t>、物料清单</w:t>
            </w:r>
            <w:r>
              <w:t>齐全</w:t>
            </w:r>
            <w:r>
              <w:rPr>
                <w:rFonts w:hint="eastAsia"/>
              </w:rPr>
              <w:t>；④人员配置优于用户需求书“五、承包人人员要求”</w:t>
            </w:r>
            <w:r>
              <w:rPr>
                <w:rFonts w:hint="eastAsia" w:ascii="宋体" w:hAnsi="宋体"/>
                <w:bCs/>
                <w:kern w:val="2"/>
              </w:rPr>
              <w:t>。</w:t>
            </w:r>
          </w:p>
        </w:tc>
        <w:tc>
          <w:tcPr>
            <w:tcW w:w="678" w:type="dxa"/>
            <w:vMerge w:val="restart"/>
            <w:vAlign w:val="center"/>
          </w:tcPr>
          <w:p>
            <w:pPr>
              <w:widowControl w:val="0"/>
              <w:spacing w:before="0" w:after="0" w:afterAutospacing="0" w:line="276" w:lineRule="auto"/>
              <w:ind w:left="0" w:right="0" w:firstLine="0"/>
              <w:jc w:val="center"/>
              <w:rPr>
                <w:rFonts w:ascii="宋体" w:hAnsi="宋体"/>
                <w:kern w:val="2"/>
              </w:rPr>
            </w:pPr>
          </w:p>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80"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50" w:type="dxa"/>
            <w:vAlign w:val="center"/>
          </w:tcPr>
          <w:p>
            <w:pPr>
              <w:snapToGrid w:val="0"/>
              <w:spacing w:line="288" w:lineRule="auto"/>
              <w:jc w:val="center"/>
              <w:rPr>
                <w:rFonts w:hint="default" w:ascii="宋体" w:hAnsi="宋体" w:eastAsia="宋体"/>
                <w:lang w:val="en-US" w:eastAsia="zh-CN"/>
              </w:rPr>
            </w:pPr>
            <w:r>
              <w:rPr>
                <w:rFonts w:hint="eastAsia" w:ascii="宋体" w:hAnsi="宋体"/>
              </w:rPr>
              <w:t>1</w:t>
            </w:r>
            <w:r>
              <w:rPr>
                <w:rFonts w:hint="eastAsia" w:ascii="宋体" w:hAnsi="宋体"/>
                <w:lang w:val="en-US" w:eastAsia="zh-CN"/>
              </w:rPr>
              <w:t>2</w:t>
            </w:r>
            <w:r>
              <w:rPr>
                <w:rFonts w:ascii="宋体" w:hAnsi="宋体"/>
              </w:rPr>
              <w:t>＜</w:t>
            </w:r>
            <w:r>
              <w:rPr>
                <w:rFonts w:hint="eastAsia" w:ascii="宋体" w:hAnsi="宋体"/>
              </w:rPr>
              <w:t>m≤</w:t>
            </w:r>
            <w:r>
              <w:rPr>
                <w:rFonts w:hint="eastAsia" w:ascii="宋体" w:hAnsi="宋体"/>
                <w:lang w:val="en-US" w:eastAsia="zh-CN"/>
              </w:rPr>
              <w:t>16</w:t>
            </w:r>
          </w:p>
        </w:tc>
        <w:tc>
          <w:tcPr>
            <w:tcW w:w="5795" w:type="dxa"/>
            <w:vAlign w:val="center"/>
          </w:tcPr>
          <w:p>
            <w:pPr>
              <w:spacing w:before="0" w:after="0" w:afterAutospacing="0" w:line="240" w:lineRule="auto"/>
              <w:ind w:left="0" w:right="0" w:firstLine="0"/>
              <w:rPr>
                <w:rFonts w:ascii="宋体" w:hAnsi="宋体"/>
                <w:bCs/>
                <w:kern w:val="2"/>
              </w:rPr>
            </w:pPr>
            <w:r>
              <w:rPr>
                <w:rFonts w:hint="eastAsia"/>
              </w:rPr>
              <w:t>检测方案包含：检测部件原理、试验内容及技术要求、</w:t>
            </w:r>
            <w:r>
              <w:t>检测</w:t>
            </w:r>
            <w:r>
              <w:rPr>
                <w:rFonts w:hint="eastAsia"/>
              </w:rPr>
              <w:t>计划、物料清单</w:t>
            </w:r>
            <w:r>
              <w:t>、人员配置</w:t>
            </w:r>
            <w:r>
              <w:rPr>
                <w:rFonts w:hint="eastAsia"/>
              </w:rPr>
              <w:t>等内容。方案可行、有一定的针对性，措施相对具体，其中：①了解检测部件的功能特性，</w:t>
            </w:r>
            <w:r>
              <w:t>能</w:t>
            </w:r>
            <w:r>
              <w:rPr>
                <w:rFonts w:hint="eastAsia"/>
              </w:rPr>
              <w:t>对部件检测原理进行解释；②对本项目试验内容及技术要求有基本的理解，方案试验内容</w:t>
            </w:r>
            <w:r>
              <w:t>满足</w:t>
            </w:r>
            <w:r>
              <w:rPr>
                <w:rFonts w:hint="eastAsia"/>
              </w:rPr>
              <w:t>用户需求书要求；③</w:t>
            </w:r>
            <w:r>
              <w:t>检测</w:t>
            </w:r>
            <w:r>
              <w:rPr>
                <w:rFonts w:hint="eastAsia"/>
              </w:rPr>
              <w:t>计划</w:t>
            </w:r>
            <w:r>
              <w:t>较为合理</w:t>
            </w:r>
            <w:r>
              <w:rPr>
                <w:rFonts w:hint="eastAsia"/>
              </w:rPr>
              <w:t>、物料清单</w:t>
            </w:r>
            <w:r>
              <w:t>较为齐全</w:t>
            </w:r>
            <w:r>
              <w:rPr>
                <w:rFonts w:hint="eastAsia"/>
              </w:rPr>
              <w:t>。④人员配置满足用户需求书“五、承包人人员要求”</w:t>
            </w:r>
            <w:r>
              <w:rPr>
                <w:rFonts w:hint="eastAsia" w:ascii="宋体" w:hAnsi="宋体"/>
                <w:bCs/>
                <w:kern w:val="2"/>
              </w:rPr>
              <w:t>。</w:t>
            </w:r>
          </w:p>
        </w:tc>
        <w:tc>
          <w:tcPr>
            <w:tcW w:w="678" w:type="dxa"/>
            <w:vMerge w:val="continue"/>
            <w:vAlign w:val="center"/>
          </w:tcPr>
          <w:p>
            <w:pPr>
              <w:widowControl w:val="0"/>
              <w:spacing w:before="0" w:after="0" w:afterAutospacing="0" w:line="276" w:lineRule="auto"/>
              <w:ind w:left="0" w:right="0" w:firstLine="0"/>
              <w:jc w:val="center"/>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80"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250" w:type="dxa"/>
            <w:vAlign w:val="center"/>
          </w:tcPr>
          <w:p>
            <w:pPr>
              <w:snapToGrid w:val="0"/>
              <w:spacing w:line="288" w:lineRule="auto"/>
              <w:jc w:val="center"/>
              <w:rPr>
                <w:rFonts w:hint="eastAsia" w:ascii="宋体" w:hAnsi="宋体" w:eastAsia="宋体"/>
                <w:lang w:eastAsia="zh-CN"/>
              </w:rPr>
            </w:pPr>
            <w:r>
              <w:rPr>
                <w:rFonts w:hint="eastAsia" w:ascii="宋体" w:hAnsi="宋体"/>
              </w:rPr>
              <w:t>0≤m≤1</w:t>
            </w:r>
            <w:r>
              <w:rPr>
                <w:rFonts w:hint="eastAsia" w:ascii="宋体" w:hAnsi="宋体"/>
                <w:lang w:val="en-US" w:eastAsia="zh-CN"/>
              </w:rPr>
              <w:t>2</w:t>
            </w:r>
          </w:p>
        </w:tc>
        <w:tc>
          <w:tcPr>
            <w:tcW w:w="5795" w:type="dxa"/>
            <w:vAlign w:val="center"/>
          </w:tcPr>
          <w:p>
            <w:pPr>
              <w:widowControl w:val="0"/>
              <w:spacing w:before="0" w:after="0" w:afterAutospacing="0" w:line="276" w:lineRule="auto"/>
              <w:ind w:left="0" w:right="0" w:firstLine="0"/>
              <w:rPr>
                <w:rFonts w:ascii="宋体" w:hAnsi="宋体"/>
                <w:bCs/>
                <w:kern w:val="2"/>
              </w:rPr>
            </w:pPr>
            <w:r>
              <w:rPr>
                <w:rFonts w:hint="eastAsia"/>
              </w:rPr>
              <w:t>可行性差、不可靠、不具体，对本项目不了解。</w:t>
            </w:r>
          </w:p>
        </w:tc>
        <w:tc>
          <w:tcPr>
            <w:tcW w:w="678" w:type="dxa"/>
            <w:vMerge w:val="continue"/>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22" w:type="dxa"/>
            <w:vMerge w:val="restart"/>
            <w:vAlign w:val="center"/>
          </w:tcPr>
          <w:p>
            <w:pPr>
              <w:widowControl w:val="0"/>
              <w:spacing w:before="0" w:after="0" w:afterAutospacing="0" w:line="276" w:lineRule="auto"/>
              <w:ind w:left="0" w:right="0" w:firstLine="0"/>
              <w:jc w:val="center"/>
              <w:rPr>
                <w:rFonts w:hint="eastAsia" w:ascii="宋体" w:hAnsi="宋体" w:eastAsia="宋体"/>
                <w:bCs/>
                <w:kern w:val="2"/>
                <w:lang w:val="en-US" w:eastAsia="zh-CN"/>
              </w:rPr>
            </w:pPr>
            <w:r>
              <w:rPr>
                <w:rFonts w:hint="eastAsia" w:ascii="宋体" w:hAnsi="宋体"/>
                <w:bCs/>
                <w:kern w:val="2"/>
                <w:lang w:val="en-US" w:eastAsia="zh-CN"/>
              </w:rPr>
              <w:t>3</w:t>
            </w:r>
          </w:p>
        </w:tc>
        <w:tc>
          <w:tcPr>
            <w:tcW w:w="1580" w:type="dxa"/>
            <w:vMerge w:val="restart"/>
            <w:vAlign w:val="center"/>
          </w:tcPr>
          <w:p>
            <w:pPr>
              <w:widowControl w:val="0"/>
              <w:snapToGrid w:val="0"/>
              <w:spacing w:line="276" w:lineRule="auto"/>
              <w:ind w:left="0" w:firstLine="0"/>
              <w:rPr>
                <w:rFonts w:hint="default" w:ascii="宋体" w:hAnsi="宋体" w:eastAsia="宋体"/>
                <w:bCs/>
                <w:kern w:val="2"/>
                <w:lang w:val="en-US" w:eastAsia="zh-CN"/>
              </w:rPr>
            </w:pPr>
            <w:r>
              <w:rPr>
                <w:rFonts w:hint="eastAsia" w:ascii="宋体" w:hAnsi="宋体"/>
                <w:bCs/>
                <w:kern w:val="2"/>
                <w:lang w:val="en-US" w:eastAsia="zh-CN"/>
              </w:rPr>
              <w:t>检测技术要求（</w:t>
            </w:r>
            <w:r>
              <w:rPr>
                <w:rFonts w:hint="eastAsia" w:ascii="宋体" w:hAnsi="宋体" w:cs="宋体"/>
              </w:rPr>
              <w:t>满分</w:t>
            </w:r>
            <w:r>
              <w:rPr>
                <w:rFonts w:hint="default" w:ascii="宋体" w:hAnsi="宋体" w:cs="宋体"/>
              </w:rPr>
              <w:t>3</w:t>
            </w:r>
            <w:r>
              <w:rPr>
                <w:rFonts w:hint="eastAsia" w:ascii="宋体" w:hAnsi="宋体" w:cs="宋体"/>
              </w:rPr>
              <w:t>0分</w:t>
            </w:r>
            <w:r>
              <w:rPr>
                <w:rFonts w:hint="eastAsia" w:ascii="宋体" w:hAnsi="宋体"/>
                <w:bCs/>
                <w:kern w:val="2"/>
                <w:lang w:val="en-US" w:eastAsia="zh-CN"/>
              </w:rPr>
              <w:t>）</w:t>
            </w:r>
          </w:p>
        </w:tc>
        <w:tc>
          <w:tcPr>
            <w:tcW w:w="1250" w:type="dxa"/>
            <w:vAlign w:val="center"/>
          </w:tcPr>
          <w:p>
            <w:pPr>
              <w:widowControl w:val="0"/>
              <w:spacing w:before="0" w:after="0" w:afterAutospacing="0" w:line="276" w:lineRule="auto"/>
              <w:ind w:left="0" w:right="0" w:firstLine="0"/>
              <w:jc w:val="center"/>
              <w:rPr>
                <w:rFonts w:hint="eastAsia" w:ascii="宋体" w:hAnsi="宋体"/>
                <w:lang w:val="en-US" w:eastAsia="zh-CN"/>
              </w:rPr>
            </w:pPr>
            <w:r>
              <w:rPr>
                <w:rFonts w:hint="default" w:ascii="宋体" w:hAnsi="宋体"/>
                <w:lang w:eastAsia="zh-CN"/>
              </w:rPr>
              <w:t>24</w:t>
            </w:r>
            <w:r>
              <w:rPr>
                <w:rFonts w:ascii="宋体" w:hAnsi="宋体"/>
              </w:rPr>
              <w:t>＜</w:t>
            </w:r>
            <w:r>
              <w:rPr>
                <w:rFonts w:hint="eastAsia" w:ascii="宋体" w:hAnsi="宋体"/>
              </w:rPr>
              <w:t>m≤</w:t>
            </w:r>
            <w:r>
              <w:rPr>
                <w:rFonts w:hint="default" w:ascii="宋体" w:hAnsi="宋体"/>
              </w:rPr>
              <w:t>3</w:t>
            </w:r>
            <w:r>
              <w:rPr>
                <w:rFonts w:hint="eastAsia" w:ascii="宋体" w:hAnsi="宋体"/>
              </w:rPr>
              <w:t>0</w:t>
            </w:r>
          </w:p>
        </w:tc>
        <w:tc>
          <w:tcPr>
            <w:tcW w:w="5795" w:type="dxa"/>
          </w:tcPr>
          <w:p>
            <w:pPr>
              <w:widowControl w:val="0"/>
              <w:spacing w:before="0" w:after="0" w:afterAutospacing="0" w:line="276" w:lineRule="auto"/>
              <w:ind w:left="0" w:right="0" w:firstLine="0"/>
              <w:rPr>
                <w:rFonts w:hint="default" w:ascii="宋体" w:hAnsi="宋体" w:eastAsia="宋体"/>
                <w:bCs/>
                <w:kern w:val="2"/>
                <w:lang w:val="en-US" w:eastAsia="zh-CN"/>
              </w:rPr>
            </w:pPr>
            <w:r>
              <w:rPr>
                <w:rFonts w:hint="eastAsia" w:ascii="Times New Roman" w:hAnsi="Times New Roman" w:eastAsia="宋体" w:cs="Times New Roman"/>
                <w:sz w:val="21"/>
                <w:szCs w:val="21"/>
              </w:rPr>
              <w:t>对</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橡胶件寿命试验前后的静态刚度、动态刚度和阻尼分别进行测试，并进行裂纹分析及有限元仿真分析。承包人使用正规采购的有版权的仿真软件，需要对表1中的三款样品都进行有限元仿真，将理论计算值与实际测试结果进行对比分析。</w:t>
            </w:r>
            <w:r>
              <w:rPr>
                <w:rFonts w:hint="eastAsia" w:ascii="Times New Roman" w:hAnsi="Times New Roman" w:eastAsia="宋体" w:cs="Times New Roman"/>
                <w:sz w:val="21"/>
                <w:szCs w:val="21"/>
                <w:lang w:eastAsia="zh-CN"/>
              </w:rPr>
              <w:t>”</w:t>
            </w:r>
            <w:r>
              <w:rPr>
                <w:rFonts w:hint="default" w:ascii="Times New Roman" w:hAnsi="Times New Roman" w:cs="Times New Roman"/>
                <w:sz w:val="21"/>
                <w:szCs w:val="21"/>
                <w:lang w:val="en-US" w:eastAsia="zh-CN"/>
              </w:rPr>
              <w:t>的检测技术要求</w:t>
            </w:r>
            <w:r>
              <w:rPr>
                <w:rFonts w:hint="default"/>
              </w:rPr>
              <w:t>优于用户需求书要求</w:t>
            </w:r>
            <w:r>
              <w:rPr>
                <w:rFonts w:hint="eastAsia" w:ascii="Times New Roman" w:hAnsi="Times New Roman" w:eastAsia="宋体" w:cs="Times New Roman"/>
                <w:sz w:val="21"/>
                <w:szCs w:val="21"/>
                <w:lang w:val="en-US" w:eastAsia="zh-CN"/>
              </w:rPr>
              <w:t>。</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22" w:type="dxa"/>
            <w:vMerge w:val="continue"/>
            <w:vAlign w:val="center"/>
          </w:tcPr>
          <w:p>
            <w:pPr>
              <w:widowControl w:val="0"/>
              <w:spacing w:before="0" w:after="0" w:afterAutospacing="0" w:line="276" w:lineRule="auto"/>
              <w:ind w:left="0" w:right="0" w:firstLine="0"/>
              <w:jc w:val="center"/>
              <w:rPr>
                <w:rFonts w:hint="eastAsia" w:ascii="宋体" w:hAnsi="宋体"/>
                <w:bCs/>
                <w:kern w:val="2"/>
              </w:rPr>
            </w:pPr>
          </w:p>
        </w:tc>
        <w:tc>
          <w:tcPr>
            <w:tcW w:w="1580" w:type="dxa"/>
            <w:vMerge w:val="continue"/>
            <w:vAlign w:val="center"/>
          </w:tcPr>
          <w:p>
            <w:pPr>
              <w:widowControl w:val="0"/>
              <w:snapToGrid w:val="0"/>
              <w:spacing w:line="276" w:lineRule="auto"/>
              <w:ind w:left="0" w:firstLine="0"/>
              <w:rPr>
                <w:rFonts w:hint="eastAsia" w:ascii="宋体" w:hAnsi="宋体"/>
                <w:bCs/>
                <w:kern w:val="2"/>
              </w:rPr>
            </w:pPr>
          </w:p>
        </w:tc>
        <w:tc>
          <w:tcPr>
            <w:tcW w:w="1250" w:type="dxa"/>
            <w:vAlign w:val="center"/>
          </w:tcPr>
          <w:p>
            <w:pPr>
              <w:widowControl w:val="0"/>
              <w:spacing w:before="0" w:after="0" w:afterAutospacing="0" w:line="276" w:lineRule="auto"/>
              <w:ind w:left="0" w:right="0" w:firstLine="0"/>
              <w:jc w:val="center"/>
              <w:rPr>
                <w:rFonts w:hint="eastAsia" w:ascii="宋体" w:hAnsi="宋体"/>
                <w:lang w:val="en-US" w:eastAsia="zh-CN"/>
              </w:rPr>
            </w:pPr>
            <w:r>
              <w:rPr>
                <w:rFonts w:hint="default" w:ascii="宋体" w:hAnsi="宋体"/>
              </w:rPr>
              <w:t>18</w:t>
            </w:r>
            <w:r>
              <w:rPr>
                <w:rFonts w:ascii="宋体" w:hAnsi="宋体"/>
              </w:rPr>
              <w:t>＜</w:t>
            </w:r>
            <w:r>
              <w:rPr>
                <w:rFonts w:hint="eastAsia" w:ascii="宋体" w:hAnsi="宋体"/>
              </w:rPr>
              <w:t>m≤</w:t>
            </w:r>
            <w:r>
              <w:rPr>
                <w:rFonts w:hint="default" w:ascii="宋体" w:hAnsi="宋体"/>
              </w:rPr>
              <w:t>24</w:t>
            </w:r>
          </w:p>
        </w:tc>
        <w:tc>
          <w:tcPr>
            <w:tcW w:w="5795" w:type="dxa"/>
          </w:tcPr>
          <w:p>
            <w:pPr>
              <w:widowControl w:val="0"/>
              <w:spacing w:before="0" w:after="0" w:afterAutospacing="0" w:line="276" w:lineRule="auto"/>
              <w:ind w:left="0" w:right="0" w:firstLine="0"/>
              <w:rPr>
                <w:rFonts w:hint="eastAsia" w:ascii="宋体" w:hAnsi="宋体"/>
                <w:bCs/>
                <w:kern w:val="2"/>
              </w:rPr>
            </w:pPr>
            <w:r>
              <w:rPr>
                <w:rFonts w:hint="eastAsia" w:ascii="Times New Roman" w:hAnsi="Times New Roman" w:eastAsia="宋体" w:cs="Times New Roman"/>
                <w:sz w:val="21"/>
                <w:szCs w:val="21"/>
              </w:rPr>
              <w:t>对</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橡胶件寿命试验前后的静态刚度、动态刚度和阻尼分别进行测试，并进行裂纹分析及有限元仿真分析。承包人使用正规采购的有版权的仿真软件，需要对表1中的三款样品都进行有限元仿真，将理论计算值与实际测试结果进行对比分析。</w:t>
            </w:r>
            <w:r>
              <w:rPr>
                <w:rFonts w:hint="eastAsia" w:ascii="Times New Roman" w:hAnsi="Times New Roman" w:eastAsia="宋体" w:cs="Times New Roman"/>
                <w:sz w:val="21"/>
                <w:szCs w:val="21"/>
                <w:lang w:eastAsia="zh-CN"/>
              </w:rPr>
              <w:t>”</w:t>
            </w:r>
            <w:r>
              <w:rPr>
                <w:rFonts w:hint="eastAsia" w:ascii="Times New Roman" w:hAnsi="Times New Roman" w:cs="Times New Roman"/>
                <w:sz w:val="21"/>
                <w:szCs w:val="21"/>
                <w:lang w:val="en-US" w:eastAsia="zh-CN"/>
              </w:rPr>
              <w:t>的检测技术要求基本满足</w:t>
            </w:r>
            <w:r>
              <w:rPr>
                <w:rFonts w:hint="eastAsia" w:ascii="Times New Roman" w:hAnsi="Times New Roman" w:cs="Times New Roman"/>
                <w:sz w:val="21"/>
                <w:szCs w:val="21"/>
              </w:rPr>
              <w:t>用户需求书要求</w:t>
            </w:r>
            <w:r>
              <w:rPr>
                <w:rFonts w:hint="eastAsia" w:ascii="Times New Roman" w:hAnsi="Times New Roman" w:cs="Times New Roman"/>
                <w:sz w:val="21"/>
                <w:szCs w:val="21"/>
                <w:lang w:eastAsia="zh-CN"/>
              </w:rPr>
              <w:t>。</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22" w:type="dxa"/>
            <w:vMerge w:val="continue"/>
            <w:vAlign w:val="center"/>
          </w:tcPr>
          <w:p>
            <w:pPr>
              <w:widowControl w:val="0"/>
              <w:spacing w:before="0" w:after="0" w:afterAutospacing="0" w:line="276" w:lineRule="auto"/>
              <w:ind w:left="0" w:right="0" w:firstLine="0"/>
              <w:jc w:val="center"/>
              <w:rPr>
                <w:rFonts w:hint="eastAsia" w:ascii="宋体" w:hAnsi="宋体"/>
                <w:bCs/>
                <w:kern w:val="2"/>
              </w:rPr>
            </w:pPr>
          </w:p>
        </w:tc>
        <w:tc>
          <w:tcPr>
            <w:tcW w:w="1580" w:type="dxa"/>
            <w:vMerge w:val="continue"/>
            <w:vAlign w:val="center"/>
          </w:tcPr>
          <w:p>
            <w:pPr>
              <w:widowControl w:val="0"/>
              <w:snapToGrid w:val="0"/>
              <w:spacing w:line="276" w:lineRule="auto"/>
              <w:ind w:left="0" w:firstLine="0"/>
              <w:rPr>
                <w:rFonts w:hint="eastAsia" w:ascii="宋体" w:hAnsi="宋体"/>
                <w:bCs/>
                <w:kern w:val="2"/>
              </w:rPr>
            </w:pPr>
          </w:p>
        </w:tc>
        <w:tc>
          <w:tcPr>
            <w:tcW w:w="1250" w:type="dxa"/>
            <w:vAlign w:val="center"/>
          </w:tcPr>
          <w:p>
            <w:pPr>
              <w:widowControl w:val="0"/>
              <w:spacing w:before="0" w:after="0" w:afterAutospacing="0" w:line="276" w:lineRule="auto"/>
              <w:ind w:left="0" w:right="0" w:firstLine="0"/>
              <w:jc w:val="center"/>
              <w:rPr>
                <w:rFonts w:hint="eastAsia" w:ascii="宋体" w:hAnsi="宋体"/>
                <w:lang w:val="en-US" w:eastAsia="zh-CN"/>
              </w:rPr>
            </w:pPr>
            <w:r>
              <w:rPr>
                <w:rFonts w:hint="eastAsia" w:ascii="宋体" w:hAnsi="宋体"/>
              </w:rPr>
              <w:t>0≤m≤1</w:t>
            </w:r>
            <w:r>
              <w:rPr>
                <w:rFonts w:hint="default" w:ascii="宋体" w:hAnsi="宋体"/>
              </w:rPr>
              <w:t>8</w:t>
            </w:r>
          </w:p>
        </w:tc>
        <w:tc>
          <w:tcPr>
            <w:tcW w:w="5795" w:type="dxa"/>
          </w:tcPr>
          <w:p>
            <w:pPr>
              <w:widowControl w:val="0"/>
              <w:spacing w:before="0" w:after="0" w:afterAutospacing="0" w:line="276" w:lineRule="auto"/>
              <w:ind w:left="0" w:right="0" w:firstLine="0"/>
              <w:rPr>
                <w:rFonts w:hint="eastAsia" w:ascii="Times New Roman" w:hAnsi="Times New Roman"/>
                <w:bCs w:val="0"/>
                <w:kern w:val="0"/>
              </w:rPr>
            </w:pPr>
            <w:r>
              <w:rPr>
                <w:rFonts w:hint="eastAsia" w:ascii="Times New Roman" w:hAnsi="Times New Roman" w:eastAsia="宋体" w:cs="Times New Roman"/>
                <w:sz w:val="21"/>
                <w:szCs w:val="21"/>
              </w:rPr>
              <w:t>对</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橡胶件寿命试验前后的静态刚度、动态刚度和阻尼分别进行测试，并进行裂纹分析及有限元仿真分析。承包人使用正规采购的有版权的仿真软件，需要对表1中的三款样品都进行有限元仿真，将理论计算值与实际测试结果进行对比分析。</w:t>
            </w:r>
            <w:r>
              <w:rPr>
                <w:rFonts w:hint="eastAsia" w:ascii="Times New Roman" w:hAnsi="Times New Roman" w:eastAsia="宋体" w:cs="Times New Roman"/>
                <w:sz w:val="21"/>
                <w:szCs w:val="21"/>
                <w:lang w:eastAsia="zh-CN"/>
              </w:rPr>
              <w:t>”</w:t>
            </w:r>
            <w:r>
              <w:rPr>
                <w:rFonts w:hint="eastAsia" w:ascii="Times New Roman" w:hAnsi="Times New Roman" w:cs="Times New Roman"/>
                <w:sz w:val="21"/>
                <w:szCs w:val="21"/>
                <w:lang w:val="en-US" w:eastAsia="zh-CN"/>
              </w:rPr>
              <w:t>的检测技术要求部分满足</w:t>
            </w:r>
            <w:r>
              <w:rPr>
                <w:rFonts w:hint="eastAsia" w:ascii="Times New Roman" w:hAnsi="Times New Roman" w:cs="Times New Roman"/>
                <w:sz w:val="21"/>
                <w:szCs w:val="21"/>
              </w:rPr>
              <w:t>用户需求书要求</w:t>
            </w:r>
            <w:r>
              <w:rPr>
                <w:rFonts w:hint="eastAsia" w:ascii="Times New Roman" w:hAnsi="Times New Roman" w:cs="Times New Roman"/>
                <w:sz w:val="21"/>
                <w:szCs w:val="21"/>
                <w:lang w:eastAsia="zh-CN"/>
              </w:rPr>
              <w:t>。</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22" w:type="dxa"/>
            <w:vMerge w:val="restart"/>
            <w:vAlign w:val="center"/>
          </w:tcPr>
          <w:p>
            <w:pPr>
              <w:widowControl w:val="0"/>
              <w:spacing w:before="0" w:after="0" w:afterAutospacing="0" w:line="276" w:lineRule="auto"/>
              <w:ind w:left="0" w:right="0" w:firstLine="0"/>
              <w:jc w:val="center"/>
              <w:rPr>
                <w:rFonts w:hint="eastAsia" w:ascii="宋体" w:hAnsi="宋体" w:eastAsia="宋体"/>
                <w:bCs/>
                <w:kern w:val="2"/>
                <w:lang w:eastAsia="zh-CN"/>
              </w:rPr>
            </w:pPr>
            <w:r>
              <w:rPr>
                <w:rFonts w:hint="eastAsia" w:ascii="宋体" w:hAnsi="宋体"/>
                <w:bCs/>
                <w:kern w:val="2"/>
                <w:lang w:val="en-US" w:eastAsia="zh-CN"/>
              </w:rPr>
              <w:t>4</w:t>
            </w:r>
          </w:p>
        </w:tc>
        <w:tc>
          <w:tcPr>
            <w:tcW w:w="1580" w:type="dxa"/>
            <w:vMerge w:val="restart"/>
            <w:vAlign w:val="center"/>
          </w:tcPr>
          <w:p>
            <w:pPr>
              <w:widowControl w:val="0"/>
              <w:snapToGrid w:val="0"/>
              <w:spacing w:line="276" w:lineRule="auto"/>
              <w:ind w:left="0" w:firstLine="0"/>
              <w:rPr>
                <w:rFonts w:ascii="宋体" w:hAnsi="宋体"/>
                <w:bCs/>
                <w:kern w:val="2"/>
              </w:rPr>
            </w:pPr>
            <w:r>
              <w:rPr>
                <w:rFonts w:hint="eastAsia" w:ascii="宋体" w:hAnsi="宋体"/>
                <w:bCs/>
                <w:kern w:val="2"/>
              </w:rPr>
              <w:t>公司规模（满分</w:t>
            </w:r>
            <w:r>
              <w:rPr>
                <w:rFonts w:hint="eastAsia" w:ascii="宋体" w:hAnsi="宋体"/>
                <w:bCs/>
                <w:kern w:val="2"/>
                <w:lang w:val="en-US" w:eastAsia="zh-CN"/>
              </w:rPr>
              <w:t>3</w:t>
            </w:r>
            <w:r>
              <w:rPr>
                <w:rFonts w:hint="eastAsia" w:ascii="宋体" w:hAnsi="宋体"/>
                <w:bCs/>
                <w:kern w:val="2"/>
              </w:rPr>
              <w:t>分）</w:t>
            </w:r>
          </w:p>
        </w:tc>
        <w:tc>
          <w:tcPr>
            <w:tcW w:w="1250" w:type="dxa"/>
            <w:vAlign w:val="center"/>
          </w:tcPr>
          <w:p>
            <w:pPr>
              <w:widowControl w:val="0"/>
              <w:spacing w:before="0" w:after="0" w:afterAutospacing="0" w:line="276" w:lineRule="auto"/>
              <w:ind w:left="0" w:right="0" w:firstLine="0"/>
              <w:jc w:val="center"/>
              <w:rPr>
                <w:rFonts w:hint="eastAsia" w:ascii="宋体" w:hAnsi="宋体" w:eastAsia="宋体"/>
                <w:lang w:eastAsia="zh-CN"/>
              </w:rPr>
            </w:pPr>
            <w:r>
              <w:rPr>
                <w:rFonts w:hint="eastAsia" w:ascii="宋体" w:hAnsi="宋体"/>
                <w:lang w:val="en-US" w:eastAsia="zh-CN"/>
              </w:rPr>
              <w:t>2.4</w:t>
            </w:r>
            <w:r>
              <w:rPr>
                <w:rFonts w:ascii="宋体" w:hAnsi="宋体"/>
              </w:rPr>
              <w:t>＜</w:t>
            </w:r>
            <w:r>
              <w:rPr>
                <w:rFonts w:hint="eastAsia" w:ascii="宋体" w:hAnsi="宋体"/>
              </w:rPr>
              <w:t>m≤</w:t>
            </w:r>
            <w:r>
              <w:rPr>
                <w:rFonts w:hint="eastAsia" w:ascii="宋体" w:hAnsi="宋体"/>
                <w:lang w:val="en-US" w:eastAsia="zh-CN"/>
              </w:rPr>
              <w:t>3</w:t>
            </w:r>
          </w:p>
        </w:tc>
        <w:tc>
          <w:tcPr>
            <w:tcW w:w="5795" w:type="dxa"/>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公司管理制度完善，</w:t>
            </w:r>
            <w:r>
              <w:t>具有</w:t>
            </w:r>
            <w:r>
              <w:rPr>
                <w:rFonts w:hint="eastAsia"/>
              </w:rPr>
              <w:t>质量管理体系认证（ISO9001）、</w:t>
            </w:r>
            <w:r>
              <w:t>售后服务体系认证证书</w:t>
            </w:r>
            <w:r>
              <w:rPr>
                <w:rFonts w:hint="eastAsia"/>
              </w:rPr>
              <w:t>、知识产权管理体系认证证书等</w:t>
            </w:r>
            <w:r>
              <w:rPr>
                <w:rFonts w:hint="eastAsia" w:ascii="宋体" w:hAnsi="宋体"/>
                <w:bCs/>
                <w:kern w:val="2"/>
              </w:rPr>
              <w:t>；检测设备齐全，公司</w:t>
            </w:r>
            <w:r>
              <w:rPr>
                <w:rFonts w:ascii="宋体" w:hAnsi="宋体"/>
                <w:bCs/>
                <w:kern w:val="2"/>
              </w:rPr>
              <w:t>检测设备</w:t>
            </w:r>
            <w:r>
              <w:rPr>
                <w:rFonts w:hint="eastAsia" w:ascii="宋体" w:hAnsi="宋体"/>
                <w:bCs/>
                <w:kern w:val="2"/>
              </w:rPr>
              <w:t>资产价值大于1000</w:t>
            </w:r>
            <w:r>
              <w:rPr>
                <w:rFonts w:ascii="宋体" w:hAnsi="宋体"/>
                <w:bCs/>
                <w:kern w:val="2"/>
              </w:rPr>
              <w:t>万</w:t>
            </w:r>
            <w:r>
              <w:rPr>
                <w:rFonts w:hint="eastAsia" w:ascii="宋体" w:hAnsi="宋体"/>
                <w:bCs/>
                <w:kern w:val="2"/>
              </w:rPr>
              <w:t>元人民币（提供以下证明文件之一：①采购具体合同，须含采购金额、设备等信息；②发票；③其他可证明</w:t>
            </w:r>
            <w:r>
              <w:rPr>
                <w:rFonts w:ascii="宋体" w:hAnsi="宋体"/>
                <w:bCs/>
                <w:kern w:val="2"/>
              </w:rPr>
              <w:t>检测设备</w:t>
            </w:r>
            <w:r>
              <w:rPr>
                <w:rFonts w:hint="eastAsia" w:ascii="宋体" w:hAnsi="宋体"/>
                <w:bCs/>
                <w:kern w:val="2"/>
              </w:rPr>
              <w:t>资产价值的证明文件）。</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80" w:type="dxa"/>
            <w:vMerge w:val="continue"/>
            <w:vAlign w:val="center"/>
          </w:tcPr>
          <w:p>
            <w:pPr>
              <w:widowControl w:val="0"/>
              <w:snapToGrid w:val="0"/>
              <w:spacing w:line="276" w:lineRule="auto"/>
              <w:ind w:left="0" w:firstLine="0"/>
              <w:rPr>
                <w:rFonts w:ascii="宋体" w:hAnsi="宋体"/>
                <w:bCs/>
                <w:kern w:val="2"/>
              </w:rPr>
            </w:pPr>
          </w:p>
        </w:tc>
        <w:tc>
          <w:tcPr>
            <w:tcW w:w="1250" w:type="dxa"/>
            <w:vAlign w:val="center"/>
          </w:tcPr>
          <w:p>
            <w:pPr>
              <w:widowControl w:val="0"/>
              <w:spacing w:before="0" w:after="0" w:afterAutospacing="0" w:line="276" w:lineRule="auto"/>
              <w:ind w:left="0" w:right="0" w:firstLine="0"/>
              <w:jc w:val="center"/>
              <w:rPr>
                <w:rFonts w:ascii="宋体" w:hAnsi="宋体"/>
              </w:rPr>
            </w:pPr>
            <w:r>
              <w:rPr>
                <w:rFonts w:hint="eastAsia" w:ascii="宋体" w:hAnsi="宋体"/>
                <w:lang w:val="en-US" w:eastAsia="zh-CN"/>
              </w:rPr>
              <w:t>1.8</w:t>
            </w:r>
            <w:r>
              <w:rPr>
                <w:rFonts w:ascii="宋体" w:hAnsi="宋体"/>
              </w:rPr>
              <w:t>＜</w:t>
            </w:r>
            <w:r>
              <w:rPr>
                <w:rFonts w:hint="eastAsia" w:ascii="宋体" w:hAnsi="宋体"/>
              </w:rPr>
              <w:t>m≤</w:t>
            </w:r>
            <w:r>
              <w:rPr>
                <w:rFonts w:hint="eastAsia" w:ascii="宋体" w:hAnsi="宋体"/>
                <w:lang w:val="en-US" w:eastAsia="zh-CN"/>
              </w:rPr>
              <w:t>2.4</w:t>
            </w:r>
          </w:p>
        </w:tc>
        <w:tc>
          <w:tcPr>
            <w:tcW w:w="5795" w:type="dxa"/>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公司管理制度较完善，</w:t>
            </w:r>
            <w:r>
              <w:t>具有</w:t>
            </w:r>
            <w:r>
              <w:rPr>
                <w:rFonts w:hint="eastAsia"/>
              </w:rPr>
              <w:t>质量管理体系认证（ISO9001）</w:t>
            </w:r>
            <w:r>
              <w:t>、售后服务体系认证证书</w:t>
            </w:r>
            <w:r>
              <w:rPr>
                <w:rFonts w:hint="eastAsia"/>
              </w:rPr>
              <w:t>。有一定的</w:t>
            </w:r>
            <w:r>
              <w:rPr>
                <w:rFonts w:hint="eastAsia" w:ascii="宋体" w:hAnsi="宋体"/>
                <w:bCs/>
                <w:kern w:val="2"/>
              </w:rPr>
              <w:t>检测设备，公司</w:t>
            </w:r>
            <w:r>
              <w:rPr>
                <w:rFonts w:ascii="宋体" w:hAnsi="宋体"/>
                <w:bCs/>
                <w:kern w:val="2"/>
              </w:rPr>
              <w:t>检测设备</w:t>
            </w:r>
            <w:r>
              <w:rPr>
                <w:rFonts w:hint="eastAsia" w:ascii="宋体" w:hAnsi="宋体"/>
                <w:bCs/>
                <w:kern w:val="2"/>
              </w:rPr>
              <w:t>资产价值大于500</w:t>
            </w:r>
            <w:r>
              <w:rPr>
                <w:rFonts w:ascii="宋体" w:hAnsi="宋体"/>
                <w:bCs/>
                <w:kern w:val="2"/>
              </w:rPr>
              <w:t>万</w:t>
            </w:r>
            <w:r>
              <w:rPr>
                <w:rFonts w:hint="eastAsia" w:ascii="宋体" w:hAnsi="宋体"/>
                <w:bCs/>
                <w:kern w:val="2"/>
              </w:rPr>
              <w:t>元人民币（提供以下证明文件之一：①采购具体合同，须含采购金额、设备等信息；②发票；③其他可证明</w:t>
            </w:r>
            <w:r>
              <w:rPr>
                <w:rFonts w:ascii="宋体" w:hAnsi="宋体"/>
                <w:bCs/>
                <w:kern w:val="2"/>
              </w:rPr>
              <w:t>检测设备</w:t>
            </w:r>
            <w:r>
              <w:rPr>
                <w:rFonts w:hint="eastAsia" w:ascii="宋体" w:hAnsi="宋体"/>
                <w:bCs/>
                <w:kern w:val="2"/>
              </w:rPr>
              <w:t>资产价值的证明文件）。</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22" w:type="dxa"/>
            <w:vMerge w:val="continue"/>
            <w:vAlign w:val="center"/>
          </w:tcPr>
          <w:p>
            <w:pPr>
              <w:widowControl w:val="0"/>
              <w:spacing w:before="0" w:after="0" w:afterAutospacing="0" w:line="276" w:lineRule="auto"/>
              <w:ind w:left="0" w:right="0" w:firstLine="0"/>
              <w:jc w:val="center"/>
              <w:rPr>
                <w:rFonts w:ascii="宋体" w:hAnsi="宋体"/>
                <w:bCs/>
                <w:kern w:val="2"/>
              </w:rPr>
            </w:pPr>
          </w:p>
        </w:tc>
        <w:tc>
          <w:tcPr>
            <w:tcW w:w="1580" w:type="dxa"/>
            <w:vMerge w:val="continue"/>
            <w:vAlign w:val="center"/>
          </w:tcPr>
          <w:p>
            <w:pPr>
              <w:widowControl w:val="0"/>
              <w:snapToGrid w:val="0"/>
              <w:spacing w:line="276" w:lineRule="auto"/>
              <w:ind w:left="0" w:firstLine="0"/>
              <w:rPr>
                <w:rFonts w:ascii="宋体" w:hAnsi="宋体"/>
                <w:bCs/>
                <w:kern w:val="2"/>
              </w:rPr>
            </w:pPr>
          </w:p>
        </w:tc>
        <w:tc>
          <w:tcPr>
            <w:tcW w:w="1250" w:type="dxa"/>
            <w:vAlign w:val="center"/>
          </w:tcPr>
          <w:p>
            <w:pPr>
              <w:widowControl w:val="0"/>
              <w:spacing w:before="0" w:after="0" w:afterAutospacing="0" w:line="276" w:lineRule="auto"/>
              <w:ind w:left="0" w:right="0" w:firstLine="0"/>
              <w:jc w:val="center"/>
              <w:rPr>
                <w:rFonts w:ascii="宋体" w:hAnsi="宋体"/>
              </w:rPr>
            </w:pPr>
            <w:r>
              <w:rPr>
                <w:rFonts w:hint="eastAsia" w:ascii="宋体" w:hAnsi="宋体"/>
              </w:rPr>
              <w:t>0≤m≤</w:t>
            </w:r>
            <w:r>
              <w:rPr>
                <w:rFonts w:hint="eastAsia" w:ascii="宋体" w:hAnsi="宋体"/>
                <w:lang w:val="en-US" w:eastAsia="zh-CN"/>
              </w:rPr>
              <w:t>1.8</w:t>
            </w:r>
          </w:p>
        </w:tc>
        <w:tc>
          <w:tcPr>
            <w:tcW w:w="5795" w:type="dxa"/>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有公司管理制度，</w:t>
            </w:r>
            <w:r>
              <w:t>具有</w:t>
            </w:r>
            <w:r>
              <w:rPr>
                <w:rFonts w:hint="eastAsia"/>
              </w:rPr>
              <w:t>质量管理体系认证（ISO9001）</w:t>
            </w:r>
            <w:r>
              <w:rPr>
                <w:rFonts w:hint="eastAsia" w:ascii="宋体" w:hAnsi="宋体"/>
                <w:bCs/>
                <w:kern w:val="2"/>
              </w:rPr>
              <w:t>。</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22"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lang w:val="en-US" w:eastAsia="zh-CN"/>
              </w:rPr>
              <w:t>5</w:t>
            </w:r>
          </w:p>
        </w:tc>
        <w:tc>
          <w:tcPr>
            <w:tcW w:w="1580" w:type="dxa"/>
            <w:vAlign w:val="center"/>
          </w:tcPr>
          <w:p>
            <w:pPr>
              <w:widowControl w:val="0"/>
              <w:snapToGrid w:val="0"/>
              <w:spacing w:line="276" w:lineRule="auto"/>
              <w:ind w:left="0" w:firstLine="0"/>
              <w:rPr>
                <w:rFonts w:ascii="宋体" w:hAnsi="宋体"/>
                <w:bCs/>
                <w:kern w:val="2"/>
              </w:rPr>
            </w:pPr>
            <w:r>
              <w:rPr>
                <w:rFonts w:hint="eastAsia" w:ascii="宋体" w:hAnsi="宋体"/>
                <w:bCs/>
                <w:kern w:val="2"/>
              </w:rPr>
              <w:t>企业业绩（满分</w:t>
            </w:r>
            <w:r>
              <w:rPr>
                <w:rFonts w:hint="eastAsia" w:ascii="宋体" w:hAnsi="宋体"/>
                <w:bCs/>
                <w:kern w:val="2"/>
                <w:lang w:val="en-US" w:eastAsia="zh-CN"/>
              </w:rPr>
              <w:t>7</w:t>
            </w:r>
            <w:r>
              <w:rPr>
                <w:rFonts w:hint="eastAsia" w:ascii="宋体" w:hAnsi="宋体"/>
                <w:bCs/>
                <w:kern w:val="2"/>
              </w:rPr>
              <w:t>分）</w:t>
            </w:r>
          </w:p>
        </w:tc>
        <w:tc>
          <w:tcPr>
            <w:tcW w:w="1250" w:type="dxa"/>
            <w:vAlign w:val="center"/>
          </w:tcPr>
          <w:p>
            <w:pPr>
              <w:widowControl w:val="0"/>
              <w:spacing w:before="0" w:after="0" w:afterAutospacing="0" w:line="276" w:lineRule="auto"/>
              <w:ind w:left="0" w:right="0" w:firstLine="0"/>
              <w:jc w:val="center"/>
              <w:rPr>
                <w:rFonts w:hint="eastAsia" w:ascii="宋体" w:hAnsi="宋体" w:eastAsia="宋体"/>
                <w:bCs/>
                <w:kern w:val="2"/>
                <w:lang w:eastAsia="zh-CN"/>
              </w:rPr>
            </w:pPr>
            <w:r>
              <w:rPr>
                <w:rFonts w:hint="eastAsia" w:ascii="宋体" w:hAnsi="宋体"/>
              </w:rPr>
              <w:t>0≤m≤</w:t>
            </w:r>
            <w:r>
              <w:rPr>
                <w:rFonts w:hint="eastAsia" w:ascii="宋体" w:hAnsi="宋体"/>
                <w:lang w:val="en-US" w:eastAsia="zh-CN"/>
              </w:rPr>
              <w:t>7</w:t>
            </w:r>
          </w:p>
        </w:tc>
        <w:tc>
          <w:tcPr>
            <w:tcW w:w="5795" w:type="dxa"/>
          </w:tcPr>
          <w:p>
            <w:pPr>
              <w:widowControl w:val="0"/>
              <w:numPr>
                <w:ilvl w:val="255"/>
                <w:numId w:val="0"/>
              </w:numPr>
              <w:spacing w:before="0" w:after="0" w:afterAutospacing="0" w:line="276" w:lineRule="auto"/>
              <w:ind w:right="0"/>
            </w:pPr>
            <w:r>
              <w:t>①</w:t>
            </w:r>
            <w:r>
              <w:rPr>
                <w:rFonts w:hint="eastAsia"/>
              </w:rPr>
              <w:t>每</w:t>
            </w:r>
            <w:r>
              <w:t>提供1项合同金额不少于</w:t>
            </w:r>
            <w:r>
              <w:rPr>
                <w:rFonts w:hint="eastAsia"/>
              </w:rPr>
              <w:t>1</w:t>
            </w:r>
            <w:r>
              <w:t>0万元的铁路或地铁车辆橡胶类</w:t>
            </w:r>
            <w:r>
              <w:rPr>
                <w:rFonts w:hint="eastAsia"/>
              </w:rPr>
              <w:t>部</w:t>
            </w:r>
            <w:r>
              <w:t>件检测业绩得</w:t>
            </w:r>
            <w:r>
              <w:rPr>
                <w:rFonts w:hint="eastAsia"/>
                <w:lang w:val="en-US" w:eastAsia="zh-CN"/>
              </w:rPr>
              <w:t>2</w:t>
            </w:r>
            <w:r>
              <w:t>分；</w:t>
            </w:r>
          </w:p>
          <w:p>
            <w:pPr>
              <w:widowControl w:val="0"/>
              <w:numPr>
                <w:ilvl w:val="255"/>
                <w:numId w:val="0"/>
              </w:numPr>
              <w:spacing w:before="0" w:after="0" w:afterAutospacing="0" w:line="276" w:lineRule="auto"/>
              <w:ind w:right="0"/>
            </w:pPr>
            <w:r>
              <w:t>②</w:t>
            </w:r>
            <w:r>
              <w:rPr>
                <w:rFonts w:hint="eastAsia"/>
              </w:rPr>
              <w:t>每</w:t>
            </w:r>
            <w:r>
              <w:t>提供1项合同金额不少于</w:t>
            </w:r>
            <w:r>
              <w:rPr>
                <w:rFonts w:hint="eastAsia"/>
              </w:rPr>
              <w:t>1</w:t>
            </w:r>
            <w:r>
              <w:t>0万元</w:t>
            </w:r>
            <w:r>
              <w:rPr>
                <w:rFonts w:hint="eastAsia"/>
              </w:rPr>
              <w:t>的</w:t>
            </w:r>
            <w:r>
              <w:t>地铁车辆部件检测业绩得1分；</w:t>
            </w:r>
          </w:p>
          <w:p>
            <w:pPr>
              <w:widowControl w:val="0"/>
              <w:spacing w:before="0" w:after="0" w:afterAutospacing="0" w:line="276" w:lineRule="auto"/>
              <w:ind w:left="0" w:right="0" w:firstLine="0"/>
            </w:pPr>
            <w:r>
              <w:rPr>
                <w:rFonts w:hint="eastAsia"/>
              </w:rPr>
              <w:t>①+②满分</w:t>
            </w:r>
            <w:r>
              <w:rPr>
                <w:rFonts w:hint="eastAsia"/>
                <w:lang w:val="en-US" w:eastAsia="zh-CN"/>
              </w:rPr>
              <w:t>7</w:t>
            </w:r>
            <w:r>
              <w:rPr>
                <w:rFonts w:hint="eastAsia"/>
              </w:rPr>
              <w:t>分，同一业绩不重复计分。</w:t>
            </w:r>
          </w:p>
          <w:p>
            <w:pPr>
              <w:widowControl w:val="0"/>
              <w:spacing w:before="0" w:after="0" w:afterAutospacing="0" w:line="276" w:lineRule="auto"/>
              <w:ind w:left="0" w:right="0" w:firstLine="0"/>
            </w:pPr>
            <w:r>
              <w:t>业绩证明材料：</w:t>
            </w:r>
          </w:p>
          <w:p>
            <w:pPr>
              <w:widowControl w:val="0"/>
              <w:spacing w:before="0" w:after="0" w:afterAutospacing="0" w:line="276" w:lineRule="auto"/>
              <w:ind w:left="0" w:right="0" w:firstLine="0"/>
            </w:pPr>
            <w:r>
              <w:rPr>
                <w:rFonts w:hint="eastAsia"/>
              </w:rPr>
              <w:t>合同或业主（采购方）证明，合同或业主证明文件中须体现出合同双方、合同签订时间、合同服务、检测部件等内容，否则视为无效证明文件，</w:t>
            </w:r>
            <w:r>
              <w:t>复印件加盖比选申请人公章</w:t>
            </w:r>
            <w:r>
              <w:rPr>
                <w:rFonts w:hint="eastAsia"/>
              </w:rPr>
              <w:t>，</w:t>
            </w:r>
            <w:r>
              <w:t>不接受分包或转包的合同业绩。</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522" w:type="dxa"/>
            <w:vAlign w:val="center"/>
          </w:tcPr>
          <w:p>
            <w:pPr>
              <w:widowControl w:val="0"/>
              <w:spacing w:before="0" w:after="0" w:afterAutospacing="0" w:line="276" w:lineRule="auto"/>
              <w:ind w:left="0" w:right="0" w:firstLine="0"/>
              <w:jc w:val="center"/>
              <w:rPr>
                <w:rFonts w:ascii="宋体" w:hAnsi="宋体"/>
                <w:bCs/>
                <w:kern w:val="2"/>
              </w:rPr>
            </w:pPr>
            <w:r>
              <w:rPr>
                <w:rFonts w:hint="eastAsia" w:ascii="宋体" w:hAnsi="宋体"/>
                <w:bCs/>
                <w:kern w:val="2"/>
                <w:lang w:val="en-US" w:eastAsia="zh-CN"/>
              </w:rPr>
              <w:t>6</w:t>
            </w:r>
          </w:p>
        </w:tc>
        <w:tc>
          <w:tcPr>
            <w:tcW w:w="1580" w:type="dxa"/>
            <w:vAlign w:val="center"/>
          </w:tcPr>
          <w:p>
            <w:pPr>
              <w:widowControl w:val="0"/>
              <w:snapToGrid w:val="0"/>
              <w:spacing w:line="276" w:lineRule="auto"/>
              <w:ind w:left="0" w:firstLine="0"/>
              <w:rPr>
                <w:rFonts w:ascii="宋体" w:hAnsi="宋体"/>
                <w:bCs/>
                <w:kern w:val="2"/>
              </w:rPr>
            </w:pPr>
            <w:r>
              <w:rPr>
                <w:rFonts w:hint="eastAsia" w:ascii="宋体" w:hAnsi="宋体"/>
                <w:bCs/>
                <w:kern w:val="2"/>
              </w:rPr>
              <w:t>承诺（满分6分）</w:t>
            </w:r>
          </w:p>
        </w:tc>
        <w:tc>
          <w:tcPr>
            <w:tcW w:w="1250" w:type="dxa"/>
            <w:vAlign w:val="center"/>
          </w:tcPr>
          <w:p>
            <w:pPr>
              <w:widowControl w:val="0"/>
              <w:spacing w:before="0" w:after="0" w:afterAutospacing="0" w:line="276" w:lineRule="auto"/>
              <w:ind w:left="0" w:right="0" w:firstLine="0"/>
              <w:jc w:val="center"/>
              <w:rPr>
                <w:rFonts w:ascii="宋体" w:hAnsi="宋体"/>
              </w:rPr>
            </w:pPr>
            <w:r>
              <w:rPr>
                <w:rFonts w:hint="eastAsia" w:ascii="宋体" w:hAnsi="宋体"/>
              </w:rPr>
              <w:t>0≤m≤6</w:t>
            </w:r>
          </w:p>
        </w:tc>
        <w:tc>
          <w:tcPr>
            <w:tcW w:w="5795" w:type="dxa"/>
          </w:tcPr>
          <w:p>
            <w:pPr>
              <w:widowControl w:val="0"/>
              <w:spacing w:before="0" w:after="0" w:afterAutospacing="0" w:line="276" w:lineRule="auto"/>
              <w:ind w:left="0" w:right="0" w:firstLine="0"/>
              <w:rPr>
                <w:rFonts w:ascii="宋体" w:hAnsi="宋体"/>
                <w:bCs/>
                <w:kern w:val="2"/>
              </w:rPr>
            </w:pPr>
            <w:r>
              <w:rPr>
                <w:rFonts w:hint="eastAsia" w:ascii="宋体" w:hAnsi="宋体"/>
                <w:bCs/>
                <w:kern w:val="2"/>
              </w:rPr>
              <w:t>承诺在满足用户需求书所要求检测的12件样品外，额外增加1件部件检测服务得</w:t>
            </w:r>
            <w:r>
              <w:rPr>
                <w:rFonts w:hint="eastAsia" w:ascii="宋体" w:hAnsi="宋体"/>
                <w:bCs/>
                <w:kern w:val="2"/>
                <w:lang w:val="en-US" w:eastAsia="zh-CN"/>
              </w:rPr>
              <w:t>2</w:t>
            </w:r>
            <w:r>
              <w:rPr>
                <w:rFonts w:hint="eastAsia" w:ascii="宋体" w:hAnsi="宋体"/>
                <w:bCs/>
                <w:kern w:val="2"/>
              </w:rPr>
              <w:t>分，满分6分。</w:t>
            </w:r>
          </w:p>
        </w:tc>
        <w:tc>
          <w:tcPr>
            <w:tcW w:w="678" w:type="dxa"/>
            <w:vAlign w:val="center"/>
          </w:tcPr>
          <w:p>
            <w:pPr>
              <w:widowControl w:val="0"/>
              <w:spacing w:before="0" w:after="0" w:afterAutospacing="0" w:line="276" w:lineRule="auto"/>
              <w:ind w:left="0" w:right="0" w:firstLine="0"/>
              <w:jc w:val="center"/>
              <w:rPr>
                <w:rFonts w:ascii="宋体" w:hAnsi="宋体"/>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2102" w:type="dxa"/>
            <w:gridSpan w:val="2"/>
            <w:vAlign w:val="center"/>
          </w:tcPr>
          <w:p>
            <w:pPr>
              <w:widowControl w:val="0"/>
              <w:spacing w:before="0" w:after="0" w:afterAutospacing="0" w:line="276" w:lineRule="auto"/>
              <w:ind w:left="0" w:right="0" w:firstLine="0"/>
              <w:jc w:val="center"/>
              <w:rPr>
                <w:rFonts w:ascii="宋体" w:hAnsi="宋体"/>
                <w:bCs/>
                <w:kern w:val="2"/>
              </w:rPr>
            </w:pPr>
            <w:r>
              <w:rPr>
                <w:rFonts w:ascii="宋体" w:hAnsi="宋体"/>
                <w:bCs/>
                <w:kern w:val="2"/>
              </w:rPr>
              <w:t>技术</w:t>
            </w:r>
            <w:r>
              <w:rPr>
                <w:rFonts w:hint="eastAsia" w:ascii="宋体" w:hAnsi="宋体"/>
                <w:bCs/>
                <w:kern w:val="2"/>
              </w:rPr>
              <w:t>评审总分</w:t>
            </w:r>
          </w:p>
        </w:tc>
        <w:tc>
          <w:tcPr>
            <w:tcW w:w="1250" w:type="dxa"/>
            <w:vAlign w:val="center"/>
          </w:tcPr>
          <w:p>
            <w:pPr>
              <w:widowControl w:val="0"/>
              <w:spacing w:before="0" w:after="0" w:afterAutospacing="0" w:line="276" w:lineRule="auto"/>
              <w:ind w:left="0" w:right="0" w:firstLine="0"/>
              <w:jc w:val="center"/>
              <w:rPr>
                <w:rFonts w:ascii="宋体" w:hAnsi="宋体"/>
                <w:bCs/>
                <w:kern w:val="2"/>
              </w:rPr>
            </w:pPr>
            <w:r>
              <w:rPr>
                <w:rFonts w:hint="default" w:ascii="宋体" w:hAnsi="宋体"/>
                <w:bCs/>
                <w:kern w:val="2"/>
              </w:rPr>
              <w:t>7</w:t>
            </w:r>
            <w:r>
              <w:rPr>
                <w:rFonts w:hint="eastAsia" w:ascii="宋体" w:hAnsi="宋体"/>
                <w:bCs/>
                <w:kern w:val="2"/>
              </w:rPr>
              <w:t>0</w:t>
            </w:r>
            <w:r>
              <w:rPr>
                <w:rFonts w:ascii="宋体" w:hAnsi="宋体"/>
                <w:kern w:val="2"/>
              </w:rPr>
              <w:t>分</w:t>
            </w:r>
          </w:p>
        </w:tc>
        <w:tc>
          <w:tcPr>
            <w:tcW w:w="6473" w:type="dxa"/>
            <w:gridSpan w:val="2"/>
            <w:vAlign w:val="center"/>
          </w:tcPr>
          <w:p>
            <w:pPr>
              <w:widowControl w:val="0"/>
              <w:spacing w:before="0" w:after="0" w:afterAutospacing="0" w:line="276" w:lineRule="auto"/>
              <w:ind w:left="0" w:right="0" w:firstLine="0"/>
              <w:rPr>
                <w:rFonts w:ascii="宋体" w:hAnsi="宋体"/>
                <w:kern w:val="2"/>
              </w:rPr>
            </w:pPr>
          </w:p>
        </w:tc>
      </w:tr>
    </w:tbl>
    <w:p>
      <w:r>
        <w:rPr>
          <w:rFonts w:hint="eastAsia"/>
        </w:rPr>
        <w:br w:type="page"/>
      </w:r>
    </w:p>
    <w:p>
      <w:pPr>
        <w:pStyle w:val="6"/>
        <w:rPr>
          <w:sz w:val="21"/>
          <w:szCs w:val="21"/>
        </w:rPr>
      </w:pPr>
      <w:r>
        <w:rPr>
          <w:rFonts w:hint="eastAsia"/>
          <w:sz w:val="21"/>
          <w:szCs w:val="21"/>
        </w:rPr>
        <w:t>附表四 比选报价评分表</w:t>
      </w:r>
    </w:p>
    <w:p>
      <w:pPr>
        <w:widowControl w:val="0"/>
        <w:spacing w:before="0" w:after="0" w:afterAutospacing="0"/>
        <w:ind w:left="0" w:right="0" w:firstLine="0"/>
        <w:jc w:val="center"/>
        <w:rPr>
          <w:rFonts w:ascii="宋体" w:hAnsi="宋体"/>
          <w:kern w:val="2"/>
        </w:rPr>
      </w:pPr>
      <w:r>
        <w:rPr>
          <w:rFonts w:hint="eastAsia" w:ascii="Calibri" w:hAnsi="宋体"/>
          <w:b/>
          <w:kern w:val="2"/>
          <w:sz w:val="24"/>
          <w:szCs w:val="24"/>
        </w:rPr>
        <w:t>比选报价评分表</w:t>
      </w:r>
    </w:p>
    <w:p>
      <w:pPr>
        <w:widowControl w:val="0"/>
        <w:spacing w:before="0" w:after="0" w:afterAutospacing="0"/>
        <w:ind w:left="869" w:leftChars="414" w:right="0" w:firstLine="2433" w:firstLineChars="1159"/>
        <w:rPr>
          <w:rFonts w:ascii="宋体" w:hAnsi="宋体"/>
          <w:kern w:val="2"/>
        </w:rPr>
      </w:pPr>
    </w:p>
    <w:tbl>
      <w:tblPr>
        <w:tblStyle w:val="28"/>
        <w:tblpPr w:leftFromText="180" w:rightFromText="180" w:vertAnchor="page" w:horzAnchor="page" w:tblpX="1440" w:tblpY="2983"/>
        <w:tblW w:w="96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04"/>
        <w:gridCol w:w="3132"/>
        <w:gridCol w:w="2877"/>
        <w:gridCol w:w="1129"/>
        <w:gridCol w:w="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blHeader/>
          <w:jc w:val="center"/>
        </w:trPr>
        <w:tc>
          <w:tcPr>
            <w:tcW w:w="650"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序号</w:t>
            </w:r>
          </w:p>
        </w:tc>
        <w:tc>
          <w:tcPr>
            <w:tcW w:w="1104"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项目</w:t>
            </w:r>
          </w:p>
        </w:tc>
        <w:tc>
          <w:tcPr>
            <w:tcW w:w="3132" w:type="dxa"/>
            <w:vAlign w:val="center"/>
          </w:tcPr>
          <w:p>
            <w:pPr>
              <w:widowControl w:val="0"/>
              <w:spacing w:before="0" w:after="0" w:afterAutospacing="0" w:line="240" w:lineRule="auto"/>
              <w:ind w:left="0" w:right="0" w:firstLine="0"/>
              <w:jc w:val="center"/>
              <w:rPr>
                <w:rFonts w:ascii="宋体" w:hAnsi="宋体"/>
                <w:b/>
                <w:kern w:val="2"/>
              </w:rPr>
            </w:pPr>
            <w:r>
              <w:rPr>
                <w:rFonts w:hint="eastAsia" w:ascii="宋体" w:hAnsi="宋体"/>
                <w:b/>
                <w:kern w:val="2"/>
              </w:rPr>
              <w:t>基准价</w:t>
            </w:r>
          </w:p>
        </w:tc>
        <w:tc>
          <w:tcPr>
            <w:tcW w:w="2877"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评分标准</w:t>
            </w:r>
          </w:p>
        </w:tc>
        <w:tc>
          <w:tcPr>
            <w:tcW w:w="1129"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分值</w:t>
            </w:r>
          </w:p>
        </w:tc>
        <w:tc>
          <w:tcPr>
            <w:tcW w:w="708" w:type="dxa"/>
            <w:vAlign w:val="center"/>
          </w:tcPr>
          <w:p>
            <w:pPr>
              <w:widowControl w:val="0"/>
              <w:spacing w:before="0" w:after="0" w:afterAutospacing="0" w:line="240" w:lineRule="auto"/>
              <w:ind w:left="0" w:right="0" w:firstLine="0"/>
              <w:jc w:val="center"/>
              <w:rPr>
                <w:rFonts w:ascii="宋体" w:hAnsi="宋体"/>
                <w:b/>
                <w:kern w:val="2"/>
              </w:rPr>
            </w:pPr>
            <w:r>
              <w:rPr>
                <w:rFonts w:ascii="宋体" w:hAnsi="宋体"/>
                <w:b/>
                <w:kern w:val="2"/>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1" w:hRule="exact"/>
          <w:jc w:val="center"/>
        </w:trPr>
        <w:tc>
          <w:tcPr>
            <w:tcW w:w="650"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1</w:t>
            </w:r>
          </w:p>
        </w:tc>
        <w:tc>
          <w:tcPr>
            <w:tcW w:w="1104" w:type="dxa"/>
            <w:vAlign w:val="center"/>
          </w:tcPr>
          <w:p>
            <w:pPr>
              <w:widowControl w:val="0"/>
              <w:spacing w:before="0" w:after="0" w:afterAutospacing="0"/>
              <w:ind w:left="0" w:right="0" w:firstLine="0"/>
              <w:jc w:val="left"/>
              <w:rPr>
                <w:rFonts w:ascii="宋体" w:hAnsi="宋体"/>
                <w:kern w:val="2"/>
              </w:rPr>
            </w:pPr>
            <w:r>
              <w:rPr>
                <w:rFonts w:hint="eastAsia" w:ascii="宋体" w:hAnsi="宋体"/>
                <w:kern w:val="2"/>
              </w:rPr>
              <w:t>比选报价</w:t>
            </w:r>
          </w:p>
        </w:tc>
        <w:tc>
          <w:tcPr>
            <w:tcW w:w="3132" w:type="dxa"/>
            <w:vAlign w:val="center"/>
          </w:tcPr>
          <w:p>
            <w:pPr>
              <w:widowControl w:val="0"/>
              <w:snapToGrid w:val="0"/>
              <w:ind w:left="0" w:firstLine="0"/>
              <w:jc w:val="left"/>
              <w:rPr>
                <w:rFonts w:ascii="宋体" w:hAnsi="宋体"/>
                <w:b/>
                <w:kern w:val="2"/>
              </w:rPr>
            </w:pPr>
            <w:r>
              <w:rPr>
                <w:rFonts w:hint="eastAsia" w:ascii="宋体" w:hAnsi="宋体"/>
                <w:b/>
                <w:kern w:val="2"/>
              </w:rPr>
              <w:t>进入商务文件评审的比选申请</w:t>
            </w:r>
          </w:p>
          <w:p>
            <w:pPr>
              <w:widowControl w:val="0"/>
              <w:snapToGrid w:val="0"/>
              <w:ind w:left="0" w:firstLine="0"/>
              <w:jc w:val="left"/>
              <w:rPr>
                <w:rFonts w:ascii="宋体" w:hAnsi="宋体"/>
                <w:kern w:val="2"/>
              </w:rPr>
            </w:pPr>
            <w:r>
              <w:rPr>
                <w:rFonts w:hint="eastAsia" w:ascii="宋体" w:hAnsi="宋体"/>
                <w:b/>
                <w:kern w:val="2"/>
              </w:rPr>
              <w:t>人才能进行价格分评审。</w:t>
            </w:r>
            <w:r>
              <w:rPr>
                <w:rFonts w:hint="eastAsia" w:ascii="宋体" w:hAnsi="宋体" w:cs="宋体"/>
                <w:kern w:val="2"/>
                <w:szCs w:val="24"/>
              </w:rPr>
              <w:t>（1）有效报价范围：为</w:t>
            </w:r>
            <w:r>
              <w:rPr>
                <w:rFonts w:hint="eastAsia" w:ascii="宋体" w:hAnsi="宋体" w:cs="宋体"/>
                <w:kern w:val="2"/>
                <w:szCs w:val="24"/>
                <w:lang w:eastAsia="zh-CN"/>
              </w:rPr>
              <w:t>比选申请</w:t>
            </w:r>
            <w:r>
              <w:rPr>
                <w:rFonts w:hint="eastAsia" w:ascii="宋体" w:hAnsi="宋体" w:cs="宋体"/>
                <w:kern w:val="2"/>
                <w:szCs w:val="24"/>
              </w:rPr>
              <w:t>总价低于或等于比选控制价，通过资格评审、符合性评审、技术评审的，经评标委员会审定不存在严重不平衡、不合理、不低于其企业成本的比选申请人的</w:t>
            </w:r>
            <w:r>
              <w:rPr>
                <w:rFonts w:hint="eastAsia" w:ascii="宋体" w:hAnsi="宋体" w:cs="宋体"/>
                <w:kern w:val="2"/>
                <w:szCs w:val="24"/>
                <w:lang w:eastAsia="zh-CN"/>
              </w:rPr>
              <w:t>比选申请</w:t>
            </w:r>
            <w:r>
              <w:rPr>
                <w:rFonts w:hint="eastAsia" w:ascii="宋体" w:hAnsi="宋体" w:cs="宋体"/>
                <w:kern w:val="2"/>
                <w:szCs w:val="24"/>
              </w:rPr>
              <w:t>总价。（2）在有效报价范围内，满足比选文件要求且</w:t>
            </w:r>
            <w:r>
              <w:rPr>
                <w:rFonts w:hint="eastAsia" w:ascii="宋体" w:hAnsi="宋体" w:cs="宋体"/>
                <w:kern w:val="2"/>
                <w:szCs w:val="24"/>
                <w:lang w:eastAsia="zh-CN"/>
              </w:rPr>
              <w:t>比选申请</w:t>
            </w:r>
            <w:r>
              <w:rPr>
                <w:rFonts w:hint="eastAsia" w:ascii="宋体" w:hAnsi="宋体" w:cs="宋体"/>
                <w:kern w:val="2"/>
                <w:szCs w:val="24"/>
              </w:rPr>
              <w:t>报价最低的</w:t>
            </w:r>
            <w:r>
              <w:rPr>
                <w:rFonts w:hint="eastAsia" w:ascii="宋体" w:hAnsi="宋体" w:cs="宋体"/>
                <w:kern w:val="2"/>
                <w:szCs w:val="24"/>
                <w:lang w:eastAsia="zh-CN"/>
              </w:rPr>
              <w:t>比选申请</w:t>
            </w:r>
            <w:r>
              <w:rPr>
                <w:rFonts w:hint="eastAsia" w:ascii="宋体" w:hAnsi="宋体" w:cs="宋体"/>
                <w:kern w:val="2"/>
                <w:szCs w:val="24"/>
              </w:rPr>
              <w:t>报价为评标基准价，基准价报价得分为</w:t>
            </w:r>
            <w:r>
              <w:rPr>
                <w:rFonts w:hint="default" w:ascii="宋体" w:hAnsi="宋体" w:cs="宋体"/>
                <w:kern w:val="2"/>
                <w:szCs w:val="24"/>
              </w:rPr>
              <w:t>3</w:t>
            </w:r>
            <w:r>
              <w:rPr>
                <w:rFonts w:hint="eastAsia" w:ascii="宋体" w:hAnsi="宋体" w:cs="宋体"/>
                <w:kern w:val="2"/>
                <w:szCs w:val="24"/>
              </w:rPr>
              <w:t>0分。</w:t>
            </w:r>
          </w:p>
        </w:tc>
        <w:tc>
          <w:tcPr>
            <w:tcW w:w="2877" w:type="dxa"/>
            <w:vAlign w:val="center"/>
          </w:tcPr>
          <w:p>
            <w:pPr>
              <w:widowControl w:val="0"/>
              <w:spacing w:before="0" w:after="0" w:afterAutospacing="0"/>
              <w:ind w:left="0" w:right="0" w:firstLine="420" w:firstLineChars="200"/>
              <w:jc w:val="left"/>
              <w:rPr>
                <w:rFonts w:ascii="宋体" w:hAnsi="宋体"/>
                <w:kern w:val="2"/>
              </w:rPr>
            </w:pPr>
            <w:r>
              <w:rPr>
                <w:rFonts w:hint="eastAsia" w:ascii="宋体" w:hAnsi="宋体" w:cs="宋体"/>
                <w:kern w:val="2"/>
                <w:szCs w:val="24"/>
                <w:highlight w:val="none"/>
              </w:rPr>
              <w:t>计算公式：报价得分=基准价/</w:t>
            </w:r>
            <w:r>
              <w:rPr>
                <w:rFonts w:hint="eastAsia" w:ascii="宋体" w:hAnsi="宋体" w:eastAsia="宋体" w:cs="宋体"/>
                <w:kern w:val="2"/>
                <w:sz w:val="21"/>
                <w:szCs w:val="24"/>
                <w:highlight w:val="none"/>
              </w:rPr>
              <w:t>有效报价比选申请人的报价</w:t>
            </w:r>
            <w:r>
              <w:rPr>
                <w:rFonts w:hint="eastAsia" w:ascii="宋体" w:hAnsi="宋体" w:cs="宋体"/>
                <w:kern w:val="2"/>
                <w:szCs w:val="24"/>
                <w:highlight w:val="none"/>
              </w:rPr>
              <w:t>×</w:t>
            </w:r>
            <w:r>
              <w:rPr>
                <w:rFonts w:hint="eastAsia" w:ascii="宋体" w:hAnsi="宋体" w:cs="宋体"/>
                <w:kern w:val="2"/>
                <w:szCs w:val="24"/>
                <w:highlight w:val="none"/>
                <w:lang w:val="en-US" w:eastAsia="zh-CN"/>
              </w:rPr>
              <w:t>3</w:t>
            </w:r>
            <w:r>
              <w:rPr>
                <w:rFonts w:hint="eastAsia" w:ascii="宋体" w:hAnsi="宋体" w:cs="宋体"/>
                <w:kern w:val="2"/>
                <w:szCs w:val="24"/>
                <w:highlight w:val="none"/>
              </w:rPr>
              <w:t>0。计算结果保留小数点后2位。</w:t>
            </w:r>
          </w:p>
        </w:tc>
        <w:tc>
          <w:tcPr>
            <w:tcW w:w="1129" w:type="dxa"/>
            <w:vAlign w:val="center"/>
          </w:tcPr>
          <w:p>
            <w:pPr>
              <w:widowControl w:val="0"/>
              <w:spacing w:before="0" w:after="0" w:afterAutospacing="0"/>
              <w:ind w:left="0" w:right="0" w:firstLine="0"/>
              <w:rPr>
                <w:rFonts w:ascii="宋体" w:hAnsi="宋体"/>
                <w:kern w:val="2"/>
              </w:rPr>
            </w:pPr>
            <w:r>
              <w:rPr>
                <w:rFonts w:ascii="宋体" w:hAnsi="宋体"/>
                <w:kern w:val="2"/>
              </w:rPr>
              <w:t>0</w:t>
            </w:r>
            <w:r>
              <w:rPr>
                <w:rFonts w:hint="eastAsia" w:ascii="宋体" w:hAnsi="宋体"/>
                <w:kern w:val="2"/>
              </w:rPr>
              <w:t>≤</w:t>
            </w:r>
            <w:r>
              <w:rPr>
                <w:rFonts w:ascii="宋体" w:hAnsi="宋体"/>
                <w:kern w:val="2"/>
              </w:rPr>
              <w:t>m</w:t>
            </w:r>
            <w:r>
              <w:rPr>
                <w:rFonts w:hint="eastAsia" w:ascii="宋体" w:hAnsi="宋体"/>
                <w:kern w:val="2"/>
              </w:rPr>
              <w:t>≤</w:t>
            </w:r>
            <w:r>
              <w:rPr>
                <w:rFonts w:hint="default" w:ascii="宋体" w:hAnsi="宋体"/>
                <w:kern w:val="2"/>
              </w:rPr>
              <w:t>3</w:t>
            </w:r>
            <w:r>
              <w:rPr>
                <w:rFonts w:hint="eastAsia" w:ascii="宋体" w:hAnsi="宋体"/>
                <w:kern w:val="2"/>
              </w:rPr>
              <w:t>0</w:t>
            </w:r>
          </w:p>
        </w:tc>
        <w:tc>
          <w:tcPr>
            <w:tcW w:w="708" w:type="dxa"/>
            <w:vAlign w:val="center"/>
          </w:tcPr>
          <w:p>
            <w:pPr>
              <w:widowControl w:val="0"/>
              <w:spacing w:before="0" w:after="0" w:afterAutospacing="0"/>
              <w:ind w:left="0" w:right="0" w:firstLine="420" w:firstLineChars="200"/>
              <w:rPr>
                <w:rFonts w:ascii="宋体" w:hAnsi="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46" w:hRule="exact"/>
          <w:jc w:val="center"/>
        </w:trPr>
        <w:tc>
          <w:tcPr>
            <w:tcW w:w="1754" w:type="dxa"/>
            <w:gridSpan w:val="2"/>
          </w:tcPr>
          <w:p>
            <w:pPr>
              <w:widowControl w:val="0"/>
              <w:spacing w:before="0" w:after="0" w:afterAutospacing="0"/>
              <w:ind w:left="0" w:right="0" w:firstLine="420" w:firstLineChars="200"/>
              <w:rPr>
                <w:rFonts w:ascii="宋体" w:hAnsi="宋体"/>
                <w:kern w:val="2"/>
              </w:rPr>
            </w:pPr>
          </w:p>
        </w:tc>
        <w:tc>
          <w:tcPr>
            <w:tcW w:w="3132" w:type="dxa"/>
          </w:tcPr>
          <w:p>
            <w:pPr>
              <w:widowControl w:val="0"/>
              <w:spacing w:before="0" w:after="0" w:afterAutospacing="0"/>
              <w:ind w:left="0" w:right="0" w:firstLine="420" w:firstLineChars="200"/>
              <w:rPr>
                <w:rFonts w:ascii="宋体" w:hAnsi="宋体"/>
                <w:kern w:val="2"/>
              </w:rPr>
            </w:pPr>
          </w:p>
        </w:tc>
        <w:tc>
          <w:tcPr>
            <w:tcW w:w="2877" w:type="dxa"/>
            <w:vAlign w:val="center"/>
          </w:tcPr>
          <w:p>
            <w:pPr>
              <w:widowControl w:val="0"/>
              <w:spacing w:before="0" w:after="0" w:afterAutospacing="0" w:line="240" w:lineRule="auto"/>
              <w:ind w:left="0" w:right="0" w:firstLine="0"/>
              <w:jc w:val="center"/>
              <w:rPr>
                <w:rFonts w:ascii="宋体" w:hAnsi="宋体"/>
                <w:kern w:val="2"/>
              </w:rPr>
            </w:pPr>
            <w:r>
              <w:rPr>
                <w:rFonts w:hint="default" w:ascii="宋体" w:hAnsi="宋体"/>
                <w:kern w:val="2"/>
              </w:rPr>
              <w:t>3</w:t>
            </w:r>
            <w:r>
              <w:rPr>
                <w:rFonts w:hint="eastAsia" w:ascii="宋体" w:hAnsi="宋体"/>
                <w:kern w:val="2"/>
              </w:rPr>
              <w:t>0</w:t>
            </w:r>
          </w:p>
        </w:tc>
        <w:tc>
          <w:tcPr>
            <w:tcW w:w="1129" w:type="dxa"/>
            <w:vAlign w:val="center"/>
          </w:tcPr>
          <w:p>
            <w:pPr>
              <w:widowControl w:val="0"/>
              <w:spacing w:before="0" w:after="0" w:afterAutospacing="0"/>
              <w:ind w:left="0" w:right="0" w:firstLine="420" w:firstLineChars="200"/>
              <w:jc w:val="center"/>
              <w:rPr>
                <w:rFonts w:ascii="宋体" w:hAnsi="宋体"/>
                <w:kern w:val="2"/>
              </w:rPr>
            </w:pPr>
          </w:p>
        </w:tc>
        <w:tc>
          <w:tcPr>
            <w:tcW w:w="708" w:type="dxa"/>
          </w:tcPr>
          <w:p>
            <w:pPr>
              <w:widowControl w:val="0"/>
              <w:spacing w:before="0" w:after="0" w:afterAutospacing="0"/>
              <w:ind w:left="0" w:right="0" w:firstLine="420" w:firstLineChars="200"/>
              <w:rPr>
                <w:rFonts w:ascii="宋体" w:hAnsi="宋体"/>
                <w:kern w:val="2"/>
              </w:rPr>
            </w:pPr>
          </w:p>
        </w:tc>
      </w:tr>
    </w:tbl>
    <w:p>
      <w:pPr>
        <w:tabs>
          <w:tab w:val="left" w:pos="1276"/>
        </w:tabs>
        <w:spacing w:before="0" w:after="0"/>
        <w:ind w:left="420" w:right="0" w:firstLine="0"/>
        <w:jc w:val="left"/>
        <w:rPr>
          <w:rFonts w:ascii="宋体" w:hAnsi="宋体"/>
          <w:b/>
        </w:rPr>
        <w:sectPr>
          <w:headerReference r:id="rId9" w:type="default"/>
          <w:pgSz w:w="11905" w:h="16838"/>
          <w:pgMar w:top="1418" w:right="1418" w:bottom="1304" w:left="1418" w:header="454" w:footer="567" w:gutter="0"/>
          <w:pgNumType w:fmt="decimal"/>
          <w:cols w:space="720" w:num="1"/>
          <w:docGrid w:linePitch="312" w:charSpace="0"/>
        </w:sectPr>
      </w:pPr>
      <w:r>
        <w:rPr>
          <w:rFonts w:hint="eastAsia" w:ascii="Calibri" w:hAnsi="宋体"/>
          <w:bCs/>
          <w:kern w:val="2"/>
        </w:rPr>
        <w:t>注：比选报价如有修正，需填写附表《比选报价修正表》并由比选人代表签字确认。</w:t>
      </w:r>
    </w:p>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Pr>
        <w:widowControl w:val="0"/>
        <w:spacing w:before="0" w:after="0" w:afterAutospacing="0"/>
        <w:ind w:left="0" w:right="0" w:firstLine="0"/>
        <w:rPr>
          <w:rFonts w:ascii="Calibri" w:hAnsi="宋体"/>
          <w:bCs/>
          <w:kern w:val="2"/>
        </w:rPr>
      </w:pPr>
      <w:bookmarkStart w:id="1488" w:name="_Toc19299"/>
      <w:bookmarkStart w:id="1489" w:name="_Toc31487"/>
      <w:bookmarkStart w:id="1490" w:name="_Toc6612"/>
      <w:bookmarkStart w:id="1491" w:name="_Toc1459"/>
      <w:bookmarkStart w:id="1492" w:name="_Toc22635"/>
      <w:bookmarkStart w:id="1493" w:name="_Toc29670"/>
      <w:bookmarkStart w:id="1494" w:name="_Toc25123"/>
      <w:bookmarkStart w:id="1495" w:name="_Toc191"/>
      <w:bookmarkStart w:id="1496" w:name="_Toc3409"/>
      <w:bookmarkStart w:id="1497" w:name="_Toc5737"/>
      <w:bookmarkStart w:id="1498" w:name="_Toc12984826"/>
      <w:bookmarkStart w:id="1499" w:name="_Toc5811"/>
      <w:bookmarkStart w:id="1500" w:name="_Toc8945"/>
      <w:bookmarkStart w:id="1501" w:name="_Toc6102"/>
      <w:bookmarkStart w:id="1502" w:name="_Toc12983557"/>
      <w:bookmarkStart w:id="1503" w:name="_Toc492478850"/>
      <w:bookmarkStart w:id="1504" w:name="_Toc15103"/>
      <w:bookmarkStart w:id="1505" w:name="_Toc20215"/>
      <w:bookmarkStart w:id="1506" w:name="_Toc7852"/>
      <w:bookmarkStart w:id="1507" w:name="_Toc9343"/>
    </w:p>
    <w:p>
      <w:pPr>
        <w:pStyle w:val="6"/>
        <w:ind w:left="0" w:firstLine="0"/>
        <w:rPr>
          <w:sz w:val="21"/>
          <w:szCs w:val="21"/>
        </w:rPr>
      </w:pPr>
      <w:bookmarkStart w:id="1508" w:name="_Toc474847277"/>
      <w:bookmarkStart w:id="1509" w:name="_Toc47864327"/>
      <w:r>
        <w:rPr>
          <w:sz w:val="21"/>
          <w:szCs w:val="21"/>
        </w:rPr>
        <w:t>附表</w:t>
      </w:r>
      <w:r>
        <w:rPr>
          <w:rFonts w:hint="eastAsia"/>
          <w:sz w:val="21"/>
          <w:szCs w:val="21"/>
        </w:rPr>
        <w:t xml:space="preserve">五 </w:t>
      </w:r>
      <w:r>
        <w:rPr>
          <w:sz w:val="21"/>
          <w:szCs w:val="21"/>
        </w:rPr>
        <w:t xml:space="preserve"> 综合</w:t>
      </w:r>
      <w:r>
        <w:rPr>
          <w:rFonts w:hint="eastAsia"/>
          <w:sz w:val="21"/>
          <w:szCs w:val="21"/>
        </w:rPr>
        <w:t>评审</w:t>
      </w:r>
      <w:r>
        <w:rPr>
          <w:sz w:val="21"/>
          <w:szCs w:val="21"/>
        </w:rPr>
        <w:t>得分表</w:t>
      </w:r>
      <w:bookmarkEnd w:id="1508"/>
      <w:bookmarkEnd w:id="1509"/>
    </w:p>
    <w:p>
      <w:pPr>
        <w:jc w:val="center"/>
        <w:rPr>
          <w:b/>
          <w:bCs/>
          <w:sz w:val="24"/>
          <w:szCs w:val="24"/>
        </w:rPr>
      </w:pPr>
      <w:r>
        <w:rPr>
          <w:b/>
          <w:bCs/>
          <w:sz w:val="24"/>
          <w:szCs w:val="24"/>
        </w:rPr>
        <w:t>综合</w:t>
      </w:r>
      <w:r>
        <w:rPr>
          <w:rFonts w:hint="eastAsia"/>
          <w:b/>
          <w:bCs/>
          <w:sz w:val="24"/>
          <w:szCs w:val="24"/>
        </w:rPr>
        <w:t>评审</w:t>
      </w:r>
      <w:r>
        <w:rPr>
          <w:b/>
          <w:bCs/>
          <w:sz w:val="24"/>
          <w:szCs w:val="24"/>
        </w:rPr>
        <w:t>得分表</w:t>
      </w:r>
    </w:p>
    <w:tbl>
      <w:tblPr>
        <w:tblStyle w:val="28"/>
        <w:tblW w:w="85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4"/>
        <w:gridCol w:w="2607"/>
        <w:gridCol w:w="2016"/>
        <w:gridCol w:w="29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序号</w:t>
            </w:r>
          </w:p>
        </w:tc>
        <w:tc>
          <w:tcPr>
            <w:tcW w:w="2607"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项　目</w:t>
            </w:r>
          </w:p>
        </w:tc>
        <w:tc>
          <w:tcPr>
            <w:tcW w:w="2016"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满分</w:t>
            </w:r>
          </w:p>
        </w:tc>
        <w:tc>
          <w:tcPr>
            <w:tcW w:w="2916"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1</w:t>
            </w:r>
          </w:p>
        </w:tc>
        <w:tc>
          <w:tcPr>
            <w:tcW w:w="2607" w:type="dxa"/>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技术</w:t>
            </w:r>
            <w:r>
              <w:rPr>
                <w:rFonts w:hint="eastAsia" w:ascii="宋体" w:hAnsi="宋体"/>
                <w:kern w:val="2"/>
              </w:rPr>
              <w:t>文件</w:t>
            </w:r>
            <w:r>
              <w:rPr>
                <w:rFonts w:ascii="宋体" w:hAnsi="宋体"/>
                <w:kern w:val="2"/>
              </w:rPr>
              <w:t>得分</w:t>
            </w:r>
          </w:p>
        </w:tc>
        <w:tc>
          <w:tcPr>
            <w:tcW w:w="2016" w:type="dxa"/>
            <w:vAlign w:val="center"/>
          </w:tcPr>
          <w:p>
            <w:pPr>
              <w:widowControl w:val="0"/>
              <w:spacing w:before="0" w:after="0" w:afterAutospacing="0" w:line="240" w:lineRule="auto"/>
              <w:ind w:left="0" w:right="0" w:firstLine="0"/>
              <w:jc w:val="center"/>
              <w:rPr>
                <w:rFonts w:ascii="宋体" w:hAnsi="宋体"/>
                <w:kern w:val="2"/>
              </w:rPr>
            </w:pPr>
            <w:r>
              <w:rPr>
                <w:rFonts w:hint="default" w:ascii="宋体" w:hAnsi="宋体"/>
                <w:kern w:val="2"/>
              </w:rPr>
              <w:t>7</w:t>
            </w:r>
            <w:r>
              <w:rPr>
                <w:rFonts w:hint="eastAsia" w:ascii="宋体" w:hAnsi="宋体"/>
                <w:kern w:val="2"/>
              </w:rPr>
              <w:t>0</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2</w:t>
            </w:r>
          </w:p>
        </w:tc>
        <w:tc>
          <w:tcPr>
            <w:tcW w:w="2607" w:type="dxa"/>
            <w:vAlign w:val="center"/>
          </w:tcPr>
          <w:p>
            <w:pPr>
              <w:widowControl w:val="0"/>
              <w:spacing w:before="0" w:after="0" w:afterAutospacing="0" w:line="240" w:lineRule="auto"/>
              <w:ind w:left="0" w:right="0" w:firstLine="0"/>
              <w:jc w:val="center"/>
              <w:rPr>
                <w:rFonts w:ascii="宋体" w:hAnsi="宋体"/>
                <w:kern w:val="2"/>
              </w:rPr>
            </w:pPr>
            <w:r>
              <w:rPr>
                <w:rFonts w:hint="eastAsia" w:ascii="宋体" w:hAnsi="宋体"/>
                <w:kern w:val="2"/>
              </w:rPr>
              <w:t>比选报价得分</w:t>
            </w:r>
          </w:p>
        </w:tc>
        <w:tc>
          <w:tcPr>
            <w:tcW w:w="2016" w:type="dxa"/>
            <w:vAlign w:val="center"/>
          </w:tcPr>
          <w:p>
            <w:pPr>
              <w:widowControl w:val="0"/>
              <w:spacing w:before="0" w:after="0" w:afterAutospacing="0" w:line="240" w:lineRule="auto"/>
              <w:ind w:left="0" w:right="0" w:firstLine="0"/>
              <w:jc w:val="center"/>
              <w:rPr>
                <w:rFonts w:ascii="宋体" w:hAnsi="宋体"/>
                <w:kern w:val="2"/>
              </w:rPr>
            </w:pPr>
            <w:r>
              <w:rPr>
                <w:rFonts w:hint="default" w:ascii="宋体" w:hAnsi="宋体"/>
                <w:kern w:val="2"/>
              </w:rPr>
              <w:t>3</w:t>
            </w:r>
            <w:r>
              <w:rPr>
                <w:rFonts w:hint="eastAsia" w:ascii="宋体" w:hAnsi="宋体"/>
                <w:kern w:val="2"/>
              </w:rPr>
              <w:t>0</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5587" w:type="dxa"/>
            <w:gridSpan w:val="3"/>
            <w:vAlign w:val="center"/>
          </w:tcPr>
          <w:p>
            <w:pPr>
              <w:widowControl w:val="0"/>
              <w:spacing w:before="0" w:after="0" w:afterAutospacing="0" w:line="240" w:lineRule="auto"/>
              <w:ind w:left="0" w:right="0" w:firstLine="0"/>
              <w:jc w:val="center"/>
              <w:rPr>
                <w:rFonts w:ascii="宋体" w:hAnsi="宋体"/>
                <w:kern w:val="2"/>
              </w:rPr>
            </w:pPr>
            <w:r>
              <w:rPr>
                <w:rFonts w:ascii="宋体" w:hAnsi="宋体"/>
                <w:kern w:val="2"/>
              </w:rPr>
              <w:t>最终得分（合计）</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rPr>
            </w:pPr>
          </w:p>
        </w:tc>
      </w:t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tbl>
    <w:p>
      <w:bookmarkStart w:id="1510" w:name="_Toc10414"/>
      <w:bookmarkStart w:id="1511" w:name="_Toc6932"/>
      <w:bookmarkStart w:id="1512" w:name="_Toc13616"/>
      <w:bookmarkStart w:id="1513" w:name="_Toc8803"/>
      <w:bookmarkStart w:id="1514" w:name="_Toc1480"/>
      <w:bookmarkStart w:id="1515" w:name="_Toc414290588"/>
      <w:bookmarkStart w:id="1516" w:name="_Toc27431"/>
      <w:bookmarkStart w:id="1517" w:name="_Toc20211"/>
      <w:bookmarkStart w:id="1518" w:name="_Toc492478858"/>
      <w:bookmarkStart w:id="1519" w:name="_Toc6960"/>
      <w:bookmarkStart w:id="1520" w:name="_Toc10654"/>
      <w:bookmarkStart w:id="1521" w:name="_Toc9220"/>
      <w:bookmarkStart w:id="1522" w:name="_Toc12537"/>
      <w:bookmarkStart w:id="1523" w:name="_Toc24793"/>
      <w:bookmarkStart w:id="1524" w:name="_Toc22594"/>
      <w:bookmarkStart w:id="1525" w:name="_Toc11048"/>
      <w:bookmarkStart w:id="1526" w:name="_Toc21541"/>
      <w:bookmarkStart w:id="1527" w:name="_Toc32725"/>
      <w:bookmarkStart w:id="1528" w:name="_Toc1145"/>
      <w:bookmarkStart w:id="1529" w:name="_Toc4223"/>
      <w:bookmarkStart w:id="1530" w:name="_Toc22896"/>
      <w:r>
        <w:rPr>
          <w:rFonts w:hint="eastAsia"/>
        </w:rPr>
        <w:br w:type="page"/>
      </w:r>
    </w:p>
    <w:p>
      <w:pPr>
        <w:pStyle w:val="6"/>
        <w:spacing w:after="0"/>
        <w:ind w:right="-57" w:firstLine="0"/>
        <w:rPr>
          <w:sz w:val="21"/>
          <w:szCs w:val="21"/>
        </w:rPr>
      </w:pPr>
      <w:r>
        <w:rPr>
          <w:rFonts w:hint="eastAsia"/>
          <w:sz w:val="21"/>
          <w:szCs w:val="21"/>
        </w:rPr>
        <w:t>附表六 比选申请价格评审表</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spacing w:before="159" w:afterAutospacing="0"/>
        <w:ind w:right="-57" w:firstLine="0"/>
        <w:jc w:val="center"/>
        <w:rPr>
          <w:rFonts w:ascii="宋体" w:hAnsi="宋体" w:cs="宋体"/>
          <w:b/>
          <w:sz w:val="28"/>
          <w:szCs w:val="28"/>
        </w:rPr>
      </w:pPr>
      <w:r>
        <w:rPr>
          <w:rFonts w:hint="eastAsia" w:ascii="宋体" w:hAnsi="宋体" w:cs="宋体"/>
          <w:b/>
          <w:sz w:val="28"/>
          <w:szCs w:val="28"/>
        </w:rPr>
        <w:t>比选申请价格评审表</w:t>
      </w:r>
    </w:p>
    <w:tbl>
      <w:tblPr>
        <w:tblStyle w:val="28"/>
        <w:tblW w:w="141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6"/>
        <w:gridCol w:w="4621"/>
        <w:gridCol w:w="2311"/>
        <w:gridCol w:w="2164"/>
        <w:gridCol w:w="1876"/>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76"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r>
              <w:rPr>
                <w:rFonts w:hint="eastAsia" w:ascii="宋体" w:hAnsi="宋体" w:cs="宋体"/>
              </w:rPr>
              <w:t>序号</w:t>
            </w:r>
          </w:p>
        </w:tc>
        <w:tc>
          <w:tcPr>
            <w:tcW w:w="462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r>
              <w:rPr>
                <w:rFonts w:hint="eastAsia" w:ascii="宋体" w:hAnsi="宋体" w:cs="宋体"/>
              </w:rPr>
              <w:t>比选申请人名称</w:t>
            </w:r>
          </w:p>
        </w:tc>
        <w:tc>
          <w:tcPr>
            <w:tcW w:w="231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r>
              <w:rPr>
                <w:rFonts w:hint="eastAsia" w:ascii="宋体" w:hAnsi="宋体" w:cs="宋体"/>
              </w:rPr>
              <w:t>修正前比选申请报价</w:t>
            </w: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r>
              <w:rPr>
                <w:rFonts w:hint="eastAsia" w:ascii="宋体" w:hAnsi="宋体" w:cs="宋体"/>
              </w:rPr>
              <w:t>是否有修正</w:t>
            </w: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r>
              <w:rPr>
                <w:rFonts w:hint="eastAsia" w:ascii="宋体" w:hAnsi="宋体" w:cs="宋体"/>
              </w:rPr>
              <w:t>评审价（元）</w:t>
            </w: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rPr>
            </w:pPr>
            <w:r>
              <w:rPr>
                <w:rFonts w:hint="eastAsia" w:ascii="宋体" w:hAnsi="宋体" w:cs="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rPr>
            </w:pPr>
          </w:p>
        </w:tc>
        <w:tc>
          <w:tcPr>
            <w:tcW w:w="1876"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76"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462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231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rPr>
            </w:pPr>
          </w:p>
        </w:tc>
      </w:tr>
    </w:tbl>
    <w:p>
      <w:pPr>
        <w:spacing w:before="0" w:after="0" w:afterAutospacing="0"/>
        <w:ind w:left="0" w:right="0" w:firstLine="0"/>
        <w:jc w:val="left"/>
        <w:rPr>
          <w:rFonts w:ascii="宋体" w:hAnsi="宋体" w:cs="宋体"/>
        </w:rPr>
      </w:pPr>
    </w:p>
    <w:p>
      <w:pPr>
        <w:spacing w:before="0" w:after="0" w:afterAutospacing="0"/>
        <w:ind w:left="0" w:right="0" w:firstLine="0"/>
        <w:jc w:val="left"/>
        <w:rPr>
          <w:rFonts w:ascii="宋体" w:hAnsi="宋体" w:cs="宋体"/>
        </w:rPr>
      </w:pPr>
      <w:r>
        <w:rPr>
          <w:rFonts w:hint="eastAsia" w:ascii="宋体" w:hAnsi="宋体" w:cs="宋体"/>
        </w:rPr>
        <w:t>注：1.如有修正，</w:t>
      </w:r>
      <w:r>
        <w:rPr>
          <w:rFonts w:hint="eastAsia" w:hAnsi="宋体" w:cs="宋体"/>
        </w:rPr>
        <w:t>评审委员会</w:t>
      </w:r>
      <w:r>
        <w:rPr>
          <w:rFonts w:hint="eastAsia" w:ascii="宋体" w:hAnsi="宋体" w:cs="宋体"/>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cs="宋体"/>
        </w:rPr>
      </w:pPr>
      <w:r>
        <w:rPr>
          <w:rFonts w:hint="eastAsia" w:ascii="宋体" w:hAnsi="宋体" w:cs="宋体"/>
        </w:rPr>
        <w:t>2.若修正后的总价与</w:t>
      </w:r>
      <w:r>
        <w:rPr>
          <w:rFonts w:hint="eastAsia" w:ascii="宋体" w:hAnsi="宋体" w:cs="宋体"/>
          <w:lang w:eastAsia="zh-CN"/>
        </w:rPr>
        <w:t>比选申请</w:t>
      </w:r>
      <w:r>
        <w:rPr>
          <w:rFonts w:hint="eastAsia" w:ascii="宋体" w:hAnsi="宋体" w:cs="宋体"/>
        </w:rPr>
        <w:t>报价不相等，则评标总价和中标价均以修正后的总价为准，如投人不接受按以上规则确定的评标总价和中标价，则其</w:t>
      </w:r>
      <w:r>
        <w:rPr>
          <w:rFonts w:hint="eastAsia" w:ascii="宋体" w:hAnsi="宋体" w:cs="宋体"/>
          <w:lang w:eastAsia="zh-CN"/>
        </w:rPr>
        <w:t>比选申请</w:t>
      </w:r>
      <w:r>
        <w:rPr>
          <w:rFonts w:hint="eastAsia" w:ascii="宋体" w:hAnsi="宋体" w:cs="宋体"/>
        </w:rPr>
        <w:t>将被拒绝。</w:t>
      </w:r>
    </w:p>
    <w:p>
      <w:pPr>
        <w:spacing w:before="0" w:after="0" w:afterAutospacing="0"/>
        <w:ind w:left="420" w:right="0" w:firstLine="0"/>
        <w:jc w:val="left"/>
        <w:rPr>
          <w:rFonts w:ascii="宋体" w:hAnsi="宋体" w:cs="宋体"/>
        </w:rPr>
      </w:pPr>
    </w:p>
    <w:p>
      <w:pPr>
        <w:spacing w:before="0" w:after="0" w:afterAutospacing="0"/>
        <w:ind w:left="420" w:right="0" w:firstLine="0"/>
        <w:jc w:val="left"/>
        <w:rPr>
          <w:rFonts w:ascii="宋体" w:hAnsi="宋体" w:cs="宋体"/>
        </w:rPr>
      </w:pPr>
    </w:p>
    <w:p>
      <w:pPr>
        <w:spacing w:before="0" w:after="0" w:afterAutospacing="0"/>
        <w:ind w:left="420" w:right="0" w:firstLine="0"/>
        <w:jc w:val="left"/>
        <w:rPr>
          <w:rFonts w:ascii="宋体" w:hAnsi="宋体" w:cs="宋体"/>
        </w:rPr>
      </w:pPr>
    </w:p>
    <w:p>
      <w:pPr>
        <w:spacing w:before="0" w:after="0" w:afterAutospacing="0"/>
        <w:ind w:left="0" w:right="0" w:firstLine="0"/>
        <w:jc w:val="left"/>
        <w:rPr>
          <w:rFonts w:ascii="宋体" w:hAnsi="宋体" w:cs="宋体"/>
        </w:rPr>
      </w:pPr>
    </w:p>
    <w:p>
      <w:pPr>
        <w:pStyle w:val="2"/>
      </w:pPr>
    </w:p>
    <w:p>
      <w:pPr>
        <w:spacing w:before="159" w:afterAutospacing="0"/>
        <w:ind w:right="-57" w:firstLine="0"/>
        <w:jc w:val="center"/>
        <w:rPr>
          <w:rFonts w:ascii="宋体" w:hAnsi="宋体" w:cs="宋体"/>
          <w:b/>
          <w:sz w:val="28"/>
          <w:szCs w:val="28"/>
        </w:rPr>
      </w:pPr>
      <w:r>
        <w:rPr>
          <w:rFonts w:hint="eastAsia" w:ascii="宋体" w:hAnsi="宋体" w:cs="宋体"/>
          <w:b/>
          <w:sz w:val="28"/>
          <w:szCs w:val="28"/>
        </w:rPr>
        <w:t>附表：比选申请报价修正表</w:t>
      </w:r>
    </w:p>
    <w:tbl>
      <w:tblPr>
        <w:tblStyle w:val="28"/>
        <w:tblW w:w="141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1"/>
        <w:gridCol w:w="3533"/>
        <w:gridCol w:w="3937"/>
        <w:gridCol w:w="4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rPr>
            </w:pPr>
            <w:r>
              <w:rPr>
                <w:rFonts w:hint="eastAsia" w:ascii="宋体" w:hAnsi="宋体" w:cs="宋体"/>
                <w:b/>
                <w:sz w:val="24"/>
                <w:szCs w:val="24"/>
              </w:rPr>
              <w:t>编号</w:t>
            </w:r>
          </w:p>
        </w:tc>
        <w:tc>
          <w:tcPr>
            <w:tcW w:w="3533"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rPr>
            </w:pPr>
            <w:r>
              <w:rPr>
                <w:rFonts w:hint="eastAsia" w:ascii="宋体" w:hAnsi="宋体" w:cs="宋体"/>
                <w:b/>
                <w:sz w:val="24"/>
                <w:szCs w:val="24"/>
              </w:rPr>
              <w:t>修正项目</w:t>
            </w:r>
          </w:p>
        </w:tc>
        <w:tc>
          <w:tcPr>
            <w:tcW w:w="3937"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rPr>
            </w:pPr>
            <w:r>
              <w:rPr>
                <w:rFonts w:hint="eastAsia" w:ascii="宋体" w:hAnsi="宋体" w:cs="宋体"/>
                <w:b/>
                <w:sz w:val="24"/>
                <w:szCs w:val="24"/>
              </w:rPr>
              <w:t>修正前比选申请报价</w:t>
            </w: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rPr>
            </w:pPr>
            <w:r>
              <w:rPr>
                <w:rFonts w:hint="eastAsia" w:ascii="宋体" w:hAnsi="宋体" w:cs="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rPr>
            </w:pPr>
          </w:p>
        </w:tc>
        <w:tc>
          <w:tcPr>
            <w:tcW w:w="4463" w:type="dxa"/>
            <w:tcBorders>
              <w:top w:val="single" w:color="auto" w:sz="4" w:space="0"/>
              <w:left w:val="single" w:color="auto" w:sz="4" w:space="0"/>
              <w:bottom w:val="single" w:color="auto" w:sz="4" w:space="0"/>
              <w:right w:val="single" w:color="auto" w:sz="4" w:space="0"/>
            </w:tcBorders>
            <w:shd w:val="clear" w:color="auto" w:fill="auto"/>
          </w:tcPr>
          <w:p>
            <w:pPr>
              <w:spacing w:before="0" w:afterAutospacing="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b/>
                <w:sz w:val="24"/>
                <w:szCs w:val="24"/>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rPr>
            </w:pPr>
            <w:r>
              <w:rPr>
                <w:rFonts w:hint="eastAsia" w:ascii="宋体" w:hAnsi="宋体" w:cs="宋体"/>
                <w:b/>
                <w:sz w:val="24"/>
                <w:szCs w:val="24"/>
              </w:rPr>
              <w:t>比选申请人名称</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rPr>
            </w:pPr>
            <w:r>
              <w:rPr>
                <w:rFonts w:hint="eastAsia" w:ascii="宋体" w:hAnsi="宋体" w:cs="宋体"/>
                <w:b/>
                <w:sz w:val="24"/>
                <w:szCs w:val="24"/>
              </w:rPr>
              <w:t>比选申请人声明</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rPr>
            </w:pPr>
            <w:r>
              <w:rPr>
                <w:rFonts w:hint="eastAsia" w:ascii="宋体" w:hAnsi="宋体" w:cs="宋体"/>
                <w:b/>
                <w:sz w:val="24"/>
                <w:szCs w:val="24"/>
              </w:rPr>
              <w:t>我单位（</w:t>
            </w:r>
            <w:r>
              <w:rPr>
                <w:rFonts w:hint="eastAsia" w:ascii="宋体" w:hAnsi="宋体" w:cs="宋体"/>
                <w:b/>
                <w:sz w:val="44"/>
                <w:szCs w:val="44"/>
              </w:rPr>
              <w:t>□</w:t>
            </w:r>
            <w:r>
              <w:rPr>
                <w:rFonts w:hint="eastAsia" w:ascii="宋体" w:hAnsi="宋体" w:cs="宋体"/>
                <w:b/>
                <w:sz w:val="24"/>
                <w:szCs w:val="24"/>
              </w:rPr>
              <w:t>接受</w:t>
            </w:r>
            <w:r>
              <w:rPr>
                <w:rFonts w:hint="eastAsia" w:ascii="宋体" w:hAnsi="宋体" w:cs="宋体"/>
                <w:b/>
                <w:sz w:val="44"/>
                <w:szCs w:val="44"/>
              </w:rPr>
              <w:t>□</w:t>
            </w:r>
            <w:r>
              <w:rPr>
                <w:rFonts w:hint="eastAsia" w:ascii="宋体" w:hAnsi="宋体" w:cs="宋体"/>
                <w:b/>
                <w:sz w:val="24"/>
                <w:szCs w:val="24"/>
              </w:rPr>
              <w:t>不接受）本评审办法第3.3款价格评审确定的评审总价和中选价。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b/>
                <w:sz w:val="24"/>
                <w:szCs w:val="24"/>
              </w:rPr>
            </w:pPr>
            <w:r>
              <w:rPr>
                <w:rFonts w:hint="eastAsia" w:ascii="宋体" w:hAnsi="宋体" w:cs="宋体"/>
                <w:b/>
                <w:sz w:val="24"/>
                <w:szCs w:val="24"/>
              </w:rPr>
              <w:t>比选申请人代表签字</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rPr>
            </w:pPr>
          </w:p>
          <w:p>
            <w:pPr>
              <w:spacing w:before="0" w:afterAutospacing="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after="0"/>
        <w:ind w:left="420" w:right="0" w:firstLine="0"/>
        <w:jc w:val="left"/>
        <w:rPr>
          <w:rFonts w:ascii="宋体" w:hAnsi="宋体" w:cs="宋体"/>
        </w:rPr>
      </w:pPr>
    </w:p>
    <w:p>
      <w:pPr>
        <w:spacing w:before="0" w:after="0"/>
        <w:ind w:left="420" w:right="0" w:firstLine="0"/>
        <w:jc w:val="left"/>
      </w:pPr>
      <w:r>
        <w:rPr>
          <w:rFonts w:hint="eastAsia" w:ascii="宋体" w:hAnsi="宋体" w:cs="宋体"/>
        </w:rPr>
        <w:t>注：</w:t>
      </w:r>
      <w:r>
        <w:rPr>
          <w:rFonts w:hint="eastAsia"/>
        </w:rPr>
        <w:t>若修正后的总价与</w:t>
      </w:r>
      <w:r>
        <w:rPr>
          <w:rFonts w:hint="eastAsia"/>
          <w:lang w:eastAsia="zh-CN"/>
        </w:rPr>
        <w:t>比选申请</w:t>
      </w:r>
      <w:r>
        <w:rPr>
          <w:rFonts w:hint="eastAsia"/>
        </w:rPr>
        <w:t>报价不相等，则评标总价和中标价均以修正后的总价为准，如投人不接受按以上规则确定的评标总价和中标价，则其</w:t>
      </w:r>
      <w:r>
        <w:rPr>
          <w:rFonts w:hint="eastAsia"/>
          <w:lang w:eastAsia="zh-CN"/>
        </w:rPr>
        <w:t>比选申请</w:t>
      </w:r>
      <w:r>
        <w:rPr>
          <w:rFonts w:hint="eastAsia"/>
        </w:rPr>
        <w:t>将被拒绝，修正后</w:t>
      </w:r>
      <w:r>
        <w:rPr>
          <w:rFonts w:hint="eastAsia"/>
          <w:lang w:eastAsia="zh-CN"/>
        </w:rPr>
        <w:t>比选申请</w:t>
      </w:r>
      <w:r>
        <w:rPr>
          <w:rFonts w:hint="eastAsia"/>
        </w:rPr>
        <w:t>报价小数位数保留到分。</w:t>
      </w:r>
    </w:p>
    <w:sectPr>
      <w:headerReference r:id="rId10" w:type="default"/>
      <w:footerReference r:id="rId11" w:type="default"/>
      <w:pgSz w:w="16838" w:h="11905" w:orient="landscape"/>
      <w:pgMar w:top="1418" w:right="1418" w:bottom="1418" w:left="1304" w:header="454" w:footer="567" w:gutter="0"/>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right" w:pos="8728"/>
        <w:tab w:val="clear" w:pos="4153"/>
        <w:tab w:val="clear" w:pos="8306"/>
      </w:tabs>
      <w:ind w:left="0" w:right="343" w:firstLine="0"/>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100965</wp:posOffset>
              </wp:positionV>
              <wp:extent cx="289560" cy="313055"/>
              <wp:effectExtent l="0" t="0" r="15240" b="10795"/>
              <wp:wrapNone/>
              <wp:docPr id="1" name="文本框 1"/>
              <wp:cNvGraphicFramePr/>
              <a:graphic xmlns:a="http://schemas.openxmlformats.org/drawingml/2006/main">
                <a:graphicData uri="http://schemas.microsoft.com/office/word/2010/wordprocessingShape">
                  <wps:wsp>
                    <wps:cNvSpPr txBox="1"/>
                    <wps:spPr>
                      <a:xfrm>
                        <a:off x="0" y="0"/>
                        <a:ext cx="289560" cy="313055"/>
                      </a:xfrm>
                      <a:prstGeom prst="rect">
                        <a:avLst/>
                      </a:prstGeom>
                      <a:noFill/>
                      <a:ln w="6350">
                        <a:noFill/>
                      </a:ln>
                      <a:effectLst/>
                    </wps:spPr>
                    <wps:txbx>
                      <w:txbxContent>
                        <w:sdt>
                          <w:sdtPr>
                            <w:id w:val="1161433797"/>
                          </w:sdtPr>
                          <w:sdtContent>
                            <w:p>
                              <w:pPr>
                                <w:pStyle w:val="15"/>
                                <w:jc w:val="center"/>
                              </w:pPr>
                              <w:r>
                                <w:fldChar w:fldCharType="begin"/>
                              </w:r>
                              <w:r>
                                <w:instrText xml:space="preserve">PAGE   \* MERGEFORMAT</w:instrText>
                              </w:r>
                              <w:r>
                                <w:fldChar w:fldCharType="separate"/>
                              </w:r>
                              <w:r>
                                <w:rPr>
                                  <w:lang w:val="zh-CN"/>
                                </w:rPr>
                                <w:t>7</w:t>
                              </w:r>
                              <w:r>
                                <w:fldChar w:fldCharType="end"/>
                              </w:r>
                            </w:p>
                          </w:sdtContent>
                        </w:sdt>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7.95pt;height:24.65pt;width:22.8pt;mso-position-horizontal:center;mso-position-horizontal-relative:margin;z-index:251660288;mso-width-relative:page;mso-height-relative:page;" filled="f" stroked="f" coordsize="21600,21600" o:gfxdata="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gxwr9UAAAAFAQAADwAAAAAAAAABACAAAAAiAAAAZHJzL2Rvd25yZXYu&#10;eG1sUEsBAhQAFAAAAAgAh07iQKtH/JI3AgAAYwQAAA4AAAAAAAAAAQAgAAAAJAEAAGRycy9lMm9E&#10;b2MueG1sUEsFBgAAAAAGAAYAWQEAAM0FAAAAAA==&#10;">
              <v:fill on="f" focussize="0,0"/>
              <v:stroke on="f" weight="0.5pt"/>
              <v:imagedata o:title=""/>
              <o:lock v:ext="edit" aspectratio="f"/>
              <v:textbox inset="0mm,0mm,0mm,0mm">
                <w:txbxContent>
                  <w:sdt>
                    <w:sdtPr>
                      <w:id w:val="1161433797"/>
                    </w:sdtPr>
                    <w:sdtContent>
                      <w:p>
                        <w:pPr>
                          <w:pStyle w:val="15"/>
                          <w:jc w:val="center"/>
                        </w:pPr>
                        <w:r>
                          <w:fldChar w:fldCharType="begin"/>
                        </w:r>
                        <w:r>
                          <w:instrText xml:space="preserve">PAGE   \* MERGEFORMAT</w:instrText>
                        </w:r>
                        <w:r>
                          <w:fldChar w:fldCharType="separate"/>
                        </w:r>
                        <w:r>
                          <w:rPr>
                            <w:lang w:val="zh-CN"/>
                          </w:rPr>
                          <w:t>7</w:t>
                        </w:r>
                        <w:r>
                          <w:fldChar w:fldCharType="end"/>
                        </w:r>
                      </w:p>
                    </w:sdtContent>
                  </w:sd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100965</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txbx>
                      <w:txbxContent>
                        <w:p>
                          <w:r>
                            <w:rPr>
                              <w:rFonts w:hint="eastAsia"/>
                            </w:rPr>
                            <w:fldChar w:fldCharType="begin"/>
                          </w:r>
                          <w:r>
                            <w:rPr>
                              <w:rFonts w:hint="eastAsia"/>
                            </w:rPr>
                            <w:instrText xml:space="preserve">PAGE  \* MERGEFORMAT</w:instrText>
                          </w:r>
                          <w:r>
                            <w:rPr>
                              <w:rFonts w:hint="eastAsia"/>
                            </w:rPr>
                            <w:fldChar w:fldCharType="separate"/>
                          </w:r>
                          <w:r>
                            <w:t>41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7.95pt;height:144pt;width:144pt;mso-position-horizontal:center;mso-position-horizontal-relative:margin;mso-wrap-style:none;z-index:251659264;mso-width-relative:page;mso-height-relative:page;" filled="f" stroked="f" coordsize="21600,21600" o:gfxdata="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6yfTz1AAAAAcBAAAPAAAAAAAAAAEAIAAAACIAAABkcnMvZG93&#10;bnJldi54bWxQSwECFAAUAAAACACHTuJAP7xdxD0CAABvBAAADgAAAAAAAAABACAAAAAjAQAAZHJz&#10;L2Uyb0RvYy54bWxQSwUGAAAAAAYABgBZAQAA0gU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41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C7E97F"/>
    <w:multiLevelType w:val="singleLevel"/>
    <w:tmpl w:val="C7C7E97F"/>
    <w:lvl w:ilvl="0" w:tentative="0">
      <w:start w:val="1"/>
      <w:numFmt w:val="decimal"/>
      <w:suff w:val="nothing"/>
      <w:lvlText w:val="（%1）"/>
      <w:lvlJc w:val="left"/>
    </w:lvl>
  </w:abstractNum>
  <w:abstractNum w:abstractNumId="1">
    <w:nsid w:val="259905B5"/>
    <w:multiLevelType w:val="multilevel"/>
    <w:tmpl w:val="259905B5"/>
    <w:lvl w:ilvl="0" w:tentative="0">
      <w:start w:val="1"/>
      <w:numFmt w:val="chineseCountingThousand"/>
      <w:suff w:val="space"/>
      <w:lvlText w:val="第%1章"/>
      <w:lvlJc w:val="left"/>
      <w:pPr>
        <w:ind w:left="567" w:hanging="279"/>
      </w:pPr>
      <w:rPr>
        <w:rFonts w:hint="eastAsia" w:ascii="宋体" w:eastAsia="宋体"/>
        <w:b/>
        <w:i w:val="0"/>
        <w:spacing w:val="0"/>
        <w:position w:val="0"/>
        <w:sz w:val="44"/>
      </w:rPr>
    </w:lvl>
    <w:lvl w:ilvl="1" w:tentative="0">
      <w:start w:val="1"/>
      <w:numFmt w:val="decimal"/>
      <w:suff w:val="space"/>
      <w:lvlText w:val="%2."/>
      <w:lvlJc w:val="left"/>
      <w:pPr>
        <w:ind w:left="454" w:hanging="454"/>
      </w:pPr>
      <w:rPr>
        <w:rFonts w:hint="eastAsia" w:ascii="宋体" w:eastAsia="宋体"/>
        <w:b/>
        <w:i w:val="0"/>
        <w:sz w:val="32"/>
      </w:rPr>
    </w:lvl>
    <w:lvl w:ilvl="2" w:tentative="0">
      <w:start w:val="1"/>
      <w:numFmt w:val="decimal"/>
      <w:suff w:val="space"/>
      <w:lvlText w:val="%2.%3"/>
      <w:lvlJc w:val="left"/>
      <w:pPr>
        <w:ind w:left="454" w:hanging="454"/>
      </w:pPr>
      <w:rPr>
        <w:rFonts w:hint="eastAsia" w:ascii="宋体" w:eastAsia="宋体"/>
        <w:b/>
        <w:i w:val="0"/>
        <w:sz w:val="28"/>
      </w:rPr>
    </w:lvl>
    <w:lvl w:ilvl="3" w:tentative="0">
      <w:start w:val="1"/>
      <w:numFmt w:val="decimal"/>
      <w:pStyle w:val="3"/>
      <w:suff w:val="space"/>
      <w:lvlText w:val="%2.%3.%4_x0001__x0003_"/>
      <w:lvlJc w:val="left"/>
      <w:pPr>
        <w:ind w:left="2174" w:hanging="284"/>
      </w:pPr>
      <w:rPr>
        <w:rFonts w:hint="eastAsia" w:ascii="宋体" w:eastAsia="宋体"/>
        <w:b/>
        <w:i w:val="0"/>
        <w:sz w:val="28"/>
      </w:rPr>
    </w:lvl>
    <w:lvl w:ilvl="4" w:tentative="0">
      <w:start w:val="1"/>
      <w:numFmt w:val="decimal"/>
      <w:isLgl/>
      <w:suff w:val="space"/>
      <w:lvlText w:val="%2.%3.%4.%5"/>
      <w:lvlJc w:val="left"/>
      <w:pPr>
        <w:ind w:left="284" w:hanging="284"/>
      </w:pPr>
      <w:rPr>
        <w:rFonts w:hint="eastAsia" w:ascii="宋体" w:eastAsia="宋体"/>
        <w:b/>
        <w:i w:val="0"/>
        <w:strike w:val="0"/>
        <w:dstrike w:val="0"/>
        <w:sz w:val="28"/>
      </w:rPr>
    </w:lvl>
    <w:lvl w:ilvl="5" w:tentative="0">
      <w:start w:val="1"/>
      <w:numFmt w:val="decimal"/>
      <w:lvlRestart w:val="0"/>
      <w:suff w:val="space"/>
      <w:lvlText w:val="1.1.1.1.1.%6%5"/>
      <w:lvlJc w:val="left"/>
      <w:pPr>
        <w:ind w:left="0" w:firstLine="0"/>
      </w:pPr>
      <w:rPr>
        <w:rFonts w:hint="eastAsia" w:ascii="宋体" w:eastAsia="宋体"/>
        <w:b/>
        <w:i w:val="0"/>
        <w:sz w:val="28"/>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妖">
    <w15:presenceInfo w15:providerId="None" w15:userId="小妖"/>
  </w15:person>
  <w15:person w15:author="经海兵">
    <w15:presenceInfo w15:providerId="None" w15:userId="经海兵"/>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dit="trackedChanges"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N2RmZGVkMWE4NzcyY2YzNTIyMjE4NWRlNDFlODUifQ=="/>
    <w:docVar w:name="KSO_WPS_MARK_KEY" w:val="b928f014-0922-4566-afbe-cbf2748b49c4"/>
  </w:docVars>
  <w:rsids>
    <w:rsidRoot w:val="00172A27"/>
    <w:rsid w:val="00000139"/>
    <w:rsid w:val="000045EA"/>
    <w:rsid w:val="000143B4"/>
    <w:rsid w:val="00020035"/>
    <w:rsid w:val="00022F88"/>
    <w:rsid w:val="00033903"/>
    <w:rsid w:val="000437E6"/>
    <w:rsid w:val="00043E88"/>
    <w:rsid w:val="00056696"/>
    <w:rsid w:val="00065DA8"/>
    <w:rsid w:val="00070470"/>
    <w:rsid w:val="00072E66"/>
    <w:rsid w:val="00074337"/>
    <w:rsid w:val="0008222E"/>
    <w:rsid w:val="0009005C"/>
    <w:rsid w:val="00092270"/>
    <w:rsid w:val="0009493E"/>
    <w:rsid w:val="000A1767"/>
    <w:rsid w:val="000A68DB"/>
    <w:rsid w:val="000B34C7"/>
    <w:rsid w:val="000C1668"/>
    <w:rsid w:val="000C20C1"/>
    <w:rsid w:val="000C53FF"/>
    <w:rsid w:val="000C56A1"/>
    <w:rsid w:val="000C68D6"/>
    <w:rsid w:val="000D2B9F"/>
    <w:rsid w:val="000D3045"/>
    <w:rsid w:val="000D53F7"/>
    <w:rsid w:val="000E072A"/>
    <w:rsid w:val="000E2CD2"/>
    <w:rsid w:val="000E3DDE"/>
    <w:rsid w:val="000E7DA5"/>
    <w:rsid w:val="000F6EB3"/>
    <w:rsid w:val="0011106B"/>
    <w:rsid w:val="0011285E"/>
    <w:rsid w:val="0011296C"/>
    <w:rsid w:val="001207B4"/>
    <w:rsid w:val="001315CE"/>
    <w:rsid w:val="00135B62"/>
    <w:rsid w:val="001367A8"/>
    <w:rsid w:val="00136FF6"/>
    <w:rsid w:val="001520D4"/>
    <w:rsid w:val="001528F9"/>
    <w:rsid w:val="00155FD4"/>
    <w:rsid w:val="0017175E"/>
    <w:rsid w:val="00171C5C"/>
    <w:rsid w:val="00171F3D"/>
    <w:rsid w:val="00172A27"/>
    <w:rsid w:val="0018286A"/>
    <w:rsid w:val="00186A28"/>
    <w:rsid w:val="001A37D3"/>
    <w:rsid w:val="001A3FCA"/>
    <w:rsid w:val="001B0893"/>
    <w:rsid w:val="001C0C50"/>
    <w:rsid w:val="001E0D82"/>
    <w:rsid w:val="001E5985"/>
    <w:rsid w:val="001E5F09"/>
    <w:rsid w:val="001E5F4A"/>
    <w:rsid w:val="001E7288"/>
    <w:rsid w:val="002041A6"/>
    <w:rsid w:val="00206D2E"/>
    <w:rsid w:val="002215B5"/>
    <w:rsid w:val="00226768"/>
    <w:rsid w:val="00226771"/>
    <w:rsid w:val="00226B2E"/>
    <w:rsid w:val="00226D0E"/>
    <w:rsid w:val="00234C0B"/>
    <w:rsid w:val="00237A98"/>
    <w:rsid w:val="0024287B"/>
    <w:rsid w:val="0024741B"/>
    <w:rsid w:val="00250117"/>
    <w:rsid w:val="00261C93"/>
    <w:rsid w:val="00267A67"/>
    <w:rsid w:val="00272F80"/>
    <w:rsid w:val="0027764C"/>
    <w:rsid w:val="002A3639"/>
    <w:rsid w:val="002A3BC6"/>
    <w:rsid w:val="002C556E"/>
    <w:rsid w:val="002C5B0F"/>
    <w:rsid w:val="002D23D9"/>
    <w:rsid w:val="002D2931"/>
    <w:rsid w:val="002D6D0E"/>
    <w:rsid w:val="002E190D"/>
    <w:rsid w:val="002E7417"/>
    <w:rsid w:val="003207F4"/>
    <w:rsid w:val="00330C55"/>
    <w:rsid w:val="00330D78"/>
    <w:rsid w:val="003354EE"/>
    <w:rsid w:val="00337C6A"/>
    <w:rsid w:val="003464E7"/>
    <w:rsid w:val="00347499"/>
    <w:rsid w:val="00354E36"/>
    <w:rsid w:val="003568E4"/>
    <w:rsid w:val="003706A5"/>
    <w:rsid w:val="003712A4"/>
    <w:rsid w:val="00395A23"/>
    <w:rsid w:val="003A0C71"/>
    <w:rsid w:val="003A170B"/>
    <w:rsid w:val="003A6B40"/>
    <w:rsid w:val="003A7F1A"/>
    <w:rsid w:val="003B097F"/>
    <w:rsid w:val="003B2656"/>
    <w:rsid w:val="003B43D3"/>
    <w:rsid w:val="003B6BE9"/>
    <w:rsid w:val="003B753C"/>
    <w:rsid w:val="003C312A"/>
    <w:rsid w:val="003C4653"/>
    <w:rsid w:val="003D0506"/>
    <w:rsid w:val="003D3A75"/>
    <w:rsid w:val="003D6118"/>
    <w:rsid w:val="003E31D8"/>
    <w:rsid w:val="003F2270"/>
    <w:rsid w:val="004043A2"/>
    <w:rsid w:val="0040609D"/>
    <w:rsid w:val="00412014"/>
    <w:rsid w:val="00412A48"/>
    <w:rsid w:val="00414B71"/>
    <w:rsid w:val="00417574"/>
    <w:rsid w:val="004215F1"/>
    <w:rsid w:val="0042215D"/>
    <w:rsid w:val="0043285C"/>
    <w:rsid w:val="00440F9A"/>
    <w:rsid w:val="00443ADE"/>
    <w:rsid w:val="00450007"/>
    <w:rsid w:val="00460FCA"/>
    <w:rsid w:val="00476FBE"/>
    <w:rsid w:val="00483264"/>
    <w:rsid w:val="004A0D30"/>
    <w:rsid w:val="004B1E96"/>
    <w:rsid w:val="004B508D"/>
    <w:rsid w:val="004B62C0"/>
    <w:rsid w:val="004C7017"/>
    <w:rsid w:val="004D1018"/>
    <w:rsid w:val="004D449E"/>
    <w:rsid w:val="004D6C38"/>
    <w:rsid w:val="004E12DE"/>
    <w:rsid w:val="004E556B"/>
    <w:rsid w:val="004F6E95"/>
    <w:rsid w:val="00505261"/>
    <w:rsid w:val="00510E4D"/>
    <w:rsid w:val="00512A45"/>
    <w:rsid w:val="00516AE8"/>
    <w:rsid w:val="0052634A"/>
    <w:rsid w:val="00534F4F"/>
    <w:rsid w:val="00541401"/>
    <w:rsid w:val="0054269C"/>
    <w:rsid w:val="00545844"/>
    <w:rsid w:val="00561B78"/>
    <w:rsid w:val="00564C20"/>
    <w:rsid w:val="005746F2"/>
    <w:rsid w:val="00574C3B"/>
    <w:rsid w:val="0057690D"/>
    <w:rsid w:val="00596877"/>
    <w:rsid w:val="005A2E67"/>
    <w:rsid w:val="005B01F5"/>
    <w:rsid w:val="005B4FAA"/>
    <w:rsid w:val="005C5B0E"/>
    <w:rsid w:val="005E26D6"/>
    <w:rsid w:val="005E5912"/>
    <w:rsid w:val="005F2C46"/>
    <w:rsid w:val="005F5158"/>
    <w:rsid w:val="005F5B89"/>
    <w:rsid w:val="00622520"/>
    <w:rsid w:val="006279E7"/>
    <w:rsid w:val="00634596"/>
    <w:rsid w:val="006402D2"/>
    <w:rsid w:val="00642B95"/>
    <w:rsid w:val="00650EA9"/>
    <w:rsid w:val="00653FDE"/>
    <w:rsid w:val="0065460D"/>
    <w:rsid w:val="0066001D"/>
    <w:rsid w:val="006679DC"/>
    <w:rsid w:val="00670400"/>
    <w:rsid w:val="006724B7"/>
    <w:rsid w:val="00677349"/>
    <w:rsid w:val="00677925"/>
    <w:rsid w:val="00677A8A"/>
    <w:rsid w:val="006922EC"/>
    <w:rsid w:val="00693CC5"/>
    <w:rsid w:val="006A2F07"/>
    <w:rsid w:val="006A543A"/>
    <w:rsid w:val="006B4A23"/>
    <w:rsid w:val="006B6F3C"/>
    <w:rsid w:val="006C1838"/>
    <w:rsid w:val="006F48AD"/>
    <w:rsid w:val="006F629E"/>
    <w:rsid w:val="00701B5D"/>
    <w:rsid w:val="00703F0B"/>
    <w:rsid w:val="007076B1"/>
    <w:rsid w:val="007109D1"/>
    <w:rsid w:val="00711C7C"/>
    <w:rsid w:val="0071330B"/>
    <w:rsid w:val="00722FCE"/>
    <w:rsid w:val="007258A2"/>
    <w:rsid w:val="00732B4D"/>
    <w:rsid w:val="007345D7"/>
    <w:rsid w:val="00735BD4"/>
    <w:rsid w:val="00737A61"/>
    <w:rsid w:val="00746901"/>
    <w:rsid w:val="00774E91"/>
    <w:rsid w:val="00785E9C"/>
    <w:rsid w:val="00785F88"/>
    <w:rsid w:val="00792362"/>
    <w:rsid w:val="007A023A"/>
    <w:rsid w:val="007A04DC"/>
    <w:rsid w:val="007A2EB0"/>
    <w:rsid w:val="007A529B"/>
    <w:rsid w:val="007B797A"/>
    <w:rsid w:val="007C15ED"/>
    <w:rsid w:val="007C2CCC"/>
    <w:rsid w:val="007C7115"/>
    <w:rsid w:val="007D2FAE"/>
    <w:rsid w:val="007D399D"/>
    <w:rsid w:val="007D59AF"/>
    <w:rsid w:val="00803C1E"/>
    <w:rsid w:val="00810B98"/>
    <w:rsid w:val="00810E6A"/>
    <w:rsid w:val="0081156F"/>
    <w:rsid w:val="0081164E"/>
    <w:rsid w:val="00816129"/>
    <w:rsid w:val="008177BD"/>
    <w:rsid w:val="0083668C"/>
    <w:rsid w:val="008376B8"/>
    <w:rsid w:val="00840E0D"/>
    <w:rsid w:val="0086730C"/>
    <w:rsid w:val="0088026D"/>
    <w:rsid w:val="00881EB7"/>
    <w:rsid w:val="0088570D"/>
    <w:rsid w:val="00891420"/>
    <w:rsid w:val="008961B8"/>
    <w:rsid w:val="008A0C18"/>
    <w:rsid w:val="008B0302"/>
    <w:rsid w:val="008B224C"/>
    <w:rsid w:val="008C63B5"/>
    <w:rsid w:val="008D0A55"/>
    <w:rsid w:val="008D0E21"/>
    <w:rsid w:val="008D2976"/>
    <w:rsid w:val="008E500C"/>
    <w:rsid w:val="008F2CD1"/>
    <w:rsid w:val="008F720F"/>
    <w:rsid w:val="00902783"/>
    <w:rsid w:val="00904592"/>
    <w:rsid w:val="00906D34"/>
    <w:rsid w:val="009120C7"/>
    <w:rsid w:val="00916179"/>
    <w:rsid w:val="00925337"/>
    <w:rsid w:val="00931174"/>
    <w:rsid w:val="0094110B"/>
    <w:rsid w:val="00944B82"/>
    <w:rsid w:val="00956B31"/>
    <w:rsid w:val="00957AA0"/>
    <w:rsid w:val="009604CB"/>
    <w:rsid w:val="00973D89"/>
    <w:rsid w:val="0097464F"/>
    <w:rsid w:val="00993A3A"/>
    <w:rsid w:val="009A7B76"/>
    <w:rsid w:val="009B0988"/>
    <w:rsid w:val="009B388E"/>
    <w:rsid w:val="009C307D"/>
    <w:rsid w:val="009C5CE8"/>
    <w:rsid w:val="009D3453"/>
    <w:rsid w:val="009D6F3B"/>
    <w:rsid w:val="009E1329"/>
    <w:rsid w:val="009E28E5"/>
    <w:rsid w:val="009F214A"/>
    <w:rsid w:val="009F374F"/>
    <w:rsid w:val="009F588C"/>
    <w:rsid w:val="00A02C14"/>
    <w:rsid w:val="00A11C51"/>
    <w:rsid w:val="00A1337E"/>
    <w:rsid w:val="00A54F86"/>
    <w:rsid w:val="00A722C5"/>
    <w:rsid w:val="00A859DC"/>
    <w:rsid w:val="00A91F36"/>
    <w:rsid w:val="00A93A7F"/>
    <w:rsid w:val="00AB6B27"/>
    <w:rsid w:val="00AE2C17"/>
    <w:rsid w:val="00AE5333"/>
    <w:rsid w:val="00AE60A5"/>
    <w:rsid w:val="00AF196A"/>
    <w:rsid w:val="00AF54E1"/>
    <w:rsid w:val="00AF6996"/>
    <w:rsid w:val="00B04E81"/>
    <w:rsid w:val="00B14E6B"/>
    <w:rsid w:val="00B3702B"/>
    <w:rsid w:val="00B457D5"/>
    <w:rsid w:val="00B47764"/>
    <w:rsid w:val="00B4784E"/>
    <w:rsid w:val="00B52D63"/>
    <w:rsid w:val="00B539FE"/>
    <w:rsid w:val="00B74FC5"/>
    <w:rsid w:val="00B80D2F"/>
    <w:rsid w:val="00B90D8A"/>
    <w:rsid w:val="00B90EB4"/>
    <w:rsid w:val="00B910A3"/>
    <w:rsid w:val="00B95CAE"/>
    <w:rsid w:val="00B97802"/>
    <w:rsid w:val="00BA3124"/>
    <w:rsid w:val="00BA37AA"/>
    <w:rsid w:val="00BB2B84"/>
    <w:rsid w:val="00BB3622"/>
    <w:rsid w:val="00BC1FDB"/>
    <w:rsid w:val="00BD389A"/>
    <w:rsid w:val="00BE2F9C"/>
    <w:rsid w:val="00BE36C7"/>
    <w:rsid w:val="00BE3C13"/>
    <w:rsid w:val="00BF3812"/>
    <w:rsid w:val="00BF4099"/>
    <w:rsid w:val="00BF7E8A"/>
    <w:rsid w:val="00C07A4F"/>
    <w:rsid w:val="00C244BA"/>
    <w:rsid w:val="00C254EC"/>
    <w:rsid w:val="00C25AD7"/>
    <w:rsid w:val="00C30364"/>
    <w:rsid w:val="00C31620"/>
    <w:rsid w:val="00C3605A"/>
    <w:rsid w:val="00C4070E"/>
    <w:rsid w:val="00C45D77"/>
    <w:rsid w:val="00C46568"/>
    <w:rsid w:val="00C524FA"/>
    <w:rsid w:val="00C557E5"/>
    <w:rsid w:val="00C636A8"/>
    <w:rsid w:val="00C64C38"/>
    <w:rsid w:val="00C651B3"/>
    <w:rsid w:val="00C67426"/>
    <w:rsid w:val="00C7432E"/>
    <w:rsid w:val="00C76FE6"/>
    <w:rsid w:val="00C8124B"/>
    <w:rsid w:val="00C83408"/>
    <w:rsid w:val="00C85F20"/>
    <w:rsid w:val="00C91765"/>
    <w:rsid w:val="00CA3F44"/>
    <w:rsid w:val="00CA4DB7"/>
    <w:rsid w:val="00CA6CAC"/>
    <w:rsid w:val="00CA708C"/>
    <w:rsid w:val="00CB3033"/>
    <w:rsid w:val="00CB3C9F"/>
    <w:rsid w:val="00CB5F47"/>
    <w:rsid w:val="00CC18DB"/>
    <w:rsid w:val="00CC46A2"/>
    <w:rsid w:val="00CC6D92"/>
    <w:rsid w:val="00CE01EF"/>
    <w:rsid w:val="00CF001A"/>
    <w:rsid w:val="00CF355D"/>
    <w:rsid w:val="00CF3DD6"/>
    <w:rsid w:val="00D0202D"/>
    <w:rsid w:val="00D05988"/>
    <w:rsid w:val="00D1571D"/>
    <w:rsid w:val="00D21E36"/>
    <w:rsid w:val="00D2321E"/>
    <w:rsid w:val="00D23492"/>
    <w:rsid w:val="00D26520"/>
    <w:rsid w:val="00D277F8"/>
    <w:rsid w:val="00D300DD"/>
    <w:rsid w:val="00D479CD"/>
    <w:rsid w:val="00D51120"/>
    <w:rsid w:val="00D51191"/>
    <w:rsid w:val="00D829D0"/>
    <w:rsid w:val="00D841A1"/>
    <w:rsid w:val="00D86276"/>
    <w:rsid w:val="00D92C17"/>
    <w:rsid w:val="00D930BB"/>
    <w:rsid w:val="00D93779"/>
    <w:rsid w:val="00D95A4C"/>
    <w:rsid w:val="00D95DD8"/>
    <w:rsid w:val="00DA39E7"/>
    <w:rsid w:val="00DB181C"/>
    <w:rsid w:val="00DD4A24"/>
    <w:rsid w:val="00DE249D"/>
    <w:rsid w:val="00E255AC"/>
    <w:rsid w:val="00E26053"/>
    <w:rsid w:val="00E312D2"/>
    <w:rsid w:val="00E3257A"/>
    <w:rsid w:val="00E33009"/>
    <w:rsid w:val="00E400B5"/>
    <w:rsid w:val="00E449D8"/>
    <w:rsid w:val="00E44D52"/>
    <w:rsid w:val="00E45D74"/>
    <w:rsid w:val="00E51F99"/>
    <w:rsid w:val="00E52414"/>
    <w:rsid w:val="00E55177"/>
    <w:rsid w:val="00E57591"/>
    <w:rsid w:val="00E646D4"/>
    <w:rsid w:val="00E653F5"/>
    <w:rsid w:val="00E72F1F"/>
    <w:rsid w:val="00E763ED"/>
    <w:rsid w:val="00E77EA7"/>
    <w:rsid w:val="00E8709E"/>
    <w:rsid w:val="00E91197"/>
    <w:rsid w:val="00E93BCC"/>
    <w:rsid w:val="00E96E54"/>
    <w:rsid w:val="00EA4CBD"/>
    <w:rsid w:val="00EC2D7B"/>
    <w:rsid w:val="00EC7B61"/>
    <w:rsid w:val="00ED5241"/>
    <w:rsid w:val="00ED7DBB"/>
    <w:rsid w:val="00EF20F4"/>
    <w:rsid w:val="00EF5BD9"/>
    <w:rsid w:val="00EF6456"/>
    <w:rsid w:val="00F115E5"/>
    <w:rsid w:val="00F1492D"/>
    <w:rsid w:val="00F2140E"/>
    <w:rsid w:val="00F275D0"/>
    <w:rsid w:val="00F278C2"/>
    <w:rsid w:val="00F331FE"/>
    <w:rsid w:val="00F344D6"/>
    <w:rsid w:val="00F37250"/>
    <w:rsid w:val="00F3752A"/>
    <w:rsid w:val="00F40FBF"/>
    <w:rsid w:val="00F41ABA"/>
    <w:rsid w:val="00F43D41"/>
    <w:rsid w:val="00F52A40"/>
    <w:rsid w:val="00F603CC"/>
    <w:rsid w:val="00F74EBD"/>
    <w:rsid w:val="00F831B3"/>
    <w:rsid w:val="00F8733F"/>
    <w:rsid w:val="00F94057"/>
    <w:rsid w:val="00FA6233"/>
    <w:rsid w:val="00FB3AAB"/>
    <w:rsid w:val="00FB4898"/>
    <w:rsid w:val="00FC02B4"/>
    <w:rsid w:val="00FD1370"/>
    <w:rsid w:val="00FD5F55"/>
    <w:rsid w:val="00FD6B81"/>
    <w:rsid w:val="00FE3364"/>
    <w:rsid w:val="00FE6711"/>
    <w:rsid w:val="00FE7403"/>
    <w:rsid w:val="00FF2D5E"/>
    <w:rsid w:val="00FF3FB5"/>
    <w:rsid w:val="018B016D"/>
    <w:rsid w:val="01B85F94"/>
    <w:rsid w:val="01C87A7D"/>
    <w:rsid w:val="020558AC"/>
    <w:rsid w:val="02246BDA"/>
    <w:rsid w:val="024F6FBC"/>
    <w:rsid w:val="02A65BF8"/>
    <w:rsid w:val="02E04C2D"/>
    <w:rsid w:val="03146FB2"/>
    <w:rsid w:val="033C69E5"/>
    <w:rsid w:val="03984530"/>
    <w:rsid w:val="03AA5DB1"/>
    <w:rsid w:val="03EA33AA"/>
    <w:rsid w:val="04020870"/>
    <w:rsid w:val="04BD38C2"/>
    <w:rsid w:val="04C3074B"/>
    <w:rsid w:val="04DF0D84"/>
    <w:rsid w:val="04E66667"/>
    <w:rsid w:val="04ED50CF"/>
    <w:rsid w:val="050172D2"/>
    <w:rsid w:val="05074C2F"/>
    <w:rsid w:val="052E18FC"/>
    <w:rsid w:val="0553557D"/>
    <w:rsid w:val="05D616D9"/>
    <w:rsid w:val="05EA06E6"/>
    <w:rsid w:val="05F94348"/>
    <w:rsid w:val="063127B9"/>
    <w:rsid w:val="0658663F"/>
    <w:rsid w:val="065A0778"/>
    <w:rsid w:val="065E3A3E"/>
    <w:rsid w:val="069C18F5"/>
    <w:rsid w:val="06C22048"/>
    <w:rsid w:val="06D2522F"/>
    <w:rsid w:val="06FA151B"/>
    <w:rsid w:val="07261E07"/>
    <w:rsid w:val="07371870"/>
    <w:rsid w:val="07EC339C"/>
    <w:rsid w:val="07F34EB1"/>
    <w:rsid w:val="07F81459"/>
    <w:rsid w:val="08180D19"/>
    <w:rsid w:val="08451480"/>
    <w:rsid w:val="088D2F89"/>
    <w:rsid w:val="08C86A9E"/>
    <w:rsid w:val="08E23C76"/>
    <w:rsid w:val="08F30759"/>
    <w:rsid w:val="092B3343"/>
    <w:rsid w:val="094E71DE"/>
    <w:rsid w:val="096C486D"/>
    <w:rsid w:val="09AB360F"/>
    <w:rsid w:val="09D10B55"/>
    <w:rsid w:val="09E87738"/>
    <w:rsid w:val="0A1276A9"/>
    <w:rsid w:val="0A3463D4"/>
    <w:rsid w:val="0A3702D0"/>
    <w:rsid w:val="0A570CA9"/>
    <w:rsid w:val="0A7C3A7D"/>
    <w:rsid w:val="0A8B1561"/>
    <w:rsid w:val="0B163C99"/>
    <w:rsid w:val="0B1C759F"/>
    <w:rsid w:val="0B8475A9"/>
    <w:rsid w:val="0B977083"/>
    <w:rsid w:val="0BD15B7B"/>
    <w:rsid w:val="0C0D15D3"/>
    <w:rsid w:val="0C323373"/>
    <w:rsid w:val="0C500936"/>
    <w:rsid w:val="0C6F5DE9"/>
    <w:rsid w:val="0C84099E"/>
    <w:rsid w:val="0C9C64B3"/>
    <w:rsid w:val="0CA0595E"/>
    <w:rsid w:val="0CB62379"/>
    <w:rsid w:val="0CBE139E"/>
    <w:rsid w:val="0CE6644F"/>
    <w:rsid w:val="0CE85320"/>
    <w:rsid w:val="0D186BF4"/>
    <w:rsid w:val="0D460BF6"/>
    <w:rsid w:val="0D974876"/>
    <w:rsid w:val="0D9C4896"/>
    <w:rsid w:val="0DA4199A"/>
    <w:rsid w:val="0DD70309"/>
    <w:rsid w:val="0DE13648"/>
    <w:rsid w:val="0DE5590D"/>
    <w:rsid w:val="0DFB6C9C"/>
    <w:rsid w:val="0E194D6D"/>
    <w:rsid w:val="0E25522B"/>
    <w:rsid w:val="0E7D2A13"/>
    <w:rsid w:val="0E814E12"/>
    <w:rsid w:val="0EA33B28"/>
    <w:rsid w:val="0ED17E3C"/>
    <w:rsid w:val="0EFA01B2"/>
    <w:rsid w:val="0EFF24AB"/>
    <w:rsid w:val="0F2561C1"/>
    <w:rsid w:val="0F6A3F58"/>
    <w:rsid w:val="0F8F6B79"/>
    <w:rsid w:val="0FB17310"/>
    <w:rsid w:val="0FCB4351"/>
    <w:rsid w:val="100971F7"/>
    <w:rsid w:val="100D7D21"/>
    <w:rsid w:val="10142049"/>
    <w:rsid w:val="1047391B"/>
    <w:rsid w:val="10643E90"/>
    <w:rsid w:val="10940AC7"/>
    <w:rsid w:val="10C24EFC"/>
    <w:rsid w:val="10C35663"/>
    <w:rsid w:val="10CE206A"/>
    <w:rsid w:val="11366B25"/>
    <w:rsid w:val="12887A8C"/>
    <w:rsid w:val="12F1106A"/>
    <w:rsid w:val="134B6F57"/>
    <w:rsid w:val="13854E0B"/>
    <w:rsid w:val="13B855F8"/>
    <w:rsid w:val="13EE5697"/>
    <w:rsid w:val="13FD1BFC"/>
    <w:rsid w:val="142F43C4"/>
    <w:rsid w:val="143234EA"/>
    <w:rsid w:val="14625B39"/>
    <w:rsid w:val="14752A06"/>
    <w:rsid w:val="14A821F3"/>
    <w:rsid w:val="14B46A8F"/>
    <w:rsid w:val="14C44FC2"/>
    <w:rsid w:val="14F65A73"/>
    <w:rsid w:val="15202377"/>
    <w:rsid w:val="156843B5"/>
    <w:rsid w:val="15726E4E"/>
    <w:rsid w:val="157A317B"/>
    <w:rsid w:val="157A3A9F"/>
    <w:rsid w:val="15AD0DD9"/>
    <w:rsid w:val="15EC1277"/>
    <w:rsid w:val="15FF722E"/>
    <w:rsid w:val="16041E5B"/>
    <w:rsid w:val="16210154"/>
    <w:rsid w:val="163B084D"/>
    <w:rsid w:val="164A1210"/>
    <w:rsid w:val="16560CFA"/>
    <w:rsid w:val="16E537A5"/>
    <w:rsid w:val="170610F8"/>
    <w:rsid w:val="172422A9"/>
    <w:rsid w:val="1727428A"/>
    <w:rsid w:val="174E39DA"/>
    <w:rsid w:val="17510FC4"/>
    <w:rsid w:val="17520B7A"/>
    <w:rsid w:val="1799154D"/>
    <w:rsid w:val="17CA5049"/>
    <w:rsid w:val="17CE1B01"/>
    <w:rsid w:val="18471F11"/>
    <w:rsid w:val="1897390A"/>
    <w:rsid w:val="18C352FB"/>
    <w:rsid w:val="191E2058"/>
    <w:rsid w:val="19465F20"/>
    <w:rsid w:val="19B039BF"/>
    <w:rsid w:val="19BC79F8"/>
    <w:rsid w:val="19BD0D6A"/>
    <w:rsid w:val="19C5408B"/>
    <w:rsid w:val="19FB08B0"/>
    <w:rsid w:val="1A3D12D7"/>
    <w:rsid w:val="1A426254"/>
    <w:rsid w:val="1A4E7F3D"/>
    <w:rsid w:val="1A674968"/>
    <w:rsid w:val="1AA9696A"/>
    <w:rsid w:val="1ABE2407"/>
    <w:rsid w:val="1AE516AF"/>
    <w:rsid w:val="1AF656F0"/>
    <w:rsid w:val="1AF75F2E"/>
    <w:rsid w:val="1B3E058C"/>
    <w:rsid w:val="1B411AC9"/>
    <w:rsid w:val="1B9150A2"/>
    <w:rsid w:val="1BA40B32"/>
    <w:rsid w:val="1BBA1A2C"/>
    <w:rsid w:val="1BEB0238"/>
    <w:rsid w:val="1BF76ABF"/>
    <w:rsid w:val="1C974FC5"/>
    <w:rsid w:val="1D0056EE"/>
    <w:rsid w:val="1D037C7D"/>
    <w:rsid w:val="1D1A231B"/>
    <w:rsid w:val="1D221BD7"/>
    <w:rsid w:val="1D4220E5"/>
    <w:rsid w:val="1D4554EB"/>
    <w:rsid w:val="1D4A48D3"/>
    <w:rsid w:val="1D5F4E3B"/>
    <w:rsid w:val="1D822088"/>
    <w:rsid w:val="1D982AD5"/>
    <w:rsid w:val="1DB47B00"/>
    <w:rsid w:val="1DB517CB"/>
    <w:rsid w:val="1DD8345D"/>
    <w:rsid w:val="1E1C11FB"/>
    <w:rsid w:val="1E2E5F63"/>
    <w:rsid w:val="1E8079E2"/>
    <w:rsid w:val="1F23170B"/>
    <w:rsid w:val="1F347A2E"/>
    <w:rsid w:val="1FC67060"/>
    <w:rsid w:val="202F162C"/>
    <w:rsid w:val="20452C50"/>
    <w:rsid w:val="204D6941"/>
    <w:rsid w:val="20560211"/>
    <w:rsid w:val="20CE0352"/>
    <w:rsid w:val="20E9630C"/>
    <w:rsid w:val="20EA05A7"/>
    <w:rsid w:val="211A3FC0"/>
    <w:rsid w:val="211C7E96"/>
    <w:rsid w:val="212773DE"/>
    <w:rsid w:val="212773F1"/>
    <w:rsid w:val="21453189"/>
    <w:rsid w:val="21593715"/>
    <w:rsid w:val="21662088"/>
    <w:rsid w:val="217704B5"/>
    <w:rsid w:val="21B14A95"/>
    <w:rsid w:val="220A0658"/>
    <w:rsid w:val="220F4446"/>
    <w:rsid w:val="221A3FF8"/>
    <w:rsid w:val="224557FC"/>
    <w:rsid w:val="22462CF1"/>
    <w:rsid w:val="22780CCC"/>
    <w:rsid w:val="227A1C65"/>
    <w:rsid w:val="22B167AF"/>
    <w:rsid w:val="22D927FB"/>
    <w:rsid w:val="23206E5B"/>
    <w:rsid w:val="2330339B"/>
    <w:rsid w:val="2351475D"/>
    <w:rsid w:val="23776CB6"/>
    <w:rsid w:val="23DE0F50"/>
    <w:rsid w:val="23E95861"/>
    <w:rsid w:val="2449594E"/>
    <w:rsid w:val="24547A2D"/>
    <w:rsid w:val="245C0FB6"/>
    <w:rsid w:val="24751FE4"/>
    <w:rsid w:val="24924425"/>
    <w:rsid w:val="24932531"/>
    <w:rsid w:val="250E6FB8"/>
    <w:rsid w:val="25462EB1"/>
    <w:rsid w:val="255837E7"/>
    <w:rsid w:val="256F79E4"/>
    <w:rsid w:val="25A42208"/>
    <w:rsid w:val="25BA3DDD"/>
    <w:rsid w:val="25E91374"/>
    <w:rsid w:val="26053FC3"/>
    <w:rsid w:val="266B0F78"/>
    <w:rsid w:val="26755CA9"/>
    <w:rsid w:val="267853BC"/>
    <w:rsid w:val="26D02E3D"/>
    <w:rsid w:val="26E96CFC"/>
    <w:rsid w:val="26F9170F"/>
    <w:rsid w:val="270A0057"/>
    <w:rsid w:val="270F75F3"/>
    <w:rsid w:val="27122D19"/>
    <w:rsid w:val="278473AE"/>
    <w:rsid w:val="27C56A3D"/>
    <w:rsid w:val="27C839F6"/>
    <w:rsid w:val="27E4523D"/>
    <w:rsid w:val="27FE286C"/>
    <w:rsid w:val="28051435"/>
    <w:rsid w:val="281B6AA5"/>
    <w:rsid w:val="28255E07"/>
    <w:rsid w:val="289409B1"/>
    <w:rsid w:val="28C15F2B"/>
    <w:rsid w:val="28C57065"/>
    <w:rsid w:val="28E567BC"/>
    <w:rsid w:val="28F11545"/>
    <w:rsid w:val="28F72999"/>
    <w:rsid w:val="2900384A"/>
    <w:rsid w:val="290B493C"/>
    <w:rsid w:val="298E2B9B"/>
    <w:rsid w:val="2996177C"/>
    <w:rsid w:val="29B50A2E"/>
    <w:rsid w:val="29BB00FF"/>
    <w:rsid w:val="29C01436"/>
    <w:rsid w:val="2A461D96"/>
    <w:rsid w:val="2AAE26D1"/>
    <w:rsid w:val="2AC26FD7"/>
    <w:rsid w:val="2B135428"/>
    <w:rsid w:val="2B3A1938"/>
    <w:rsid w:val="2B3E22AA"/>
    <w:rsid w:val="2B4A356B"/>
    <w:rsid w:val="2B627DF5"/>
    <w:rsid w:val="2BDF2E2D"/>
    <w:rsid w:val="2BE57782"/>
    <w:rsid w:val="2BE80C6C"/>
    <w:rsid w:val="2BF408C8"/>
    <w:rsid w:val="2C030FC7"/>
    <w:rsid w:val="2C3952F1"/>
    <w:rsid w:val="2C4A4EFE"/>
    <w:rsid w:val="2C566D97"/>
    <w:rsid w:val="2C642925"/>
    <w:rsid w:val="2C904F8C"/>
    <w:rsid w:val="2C936BB2"/>
    <w:rsid w:val="2CE81615"/>
    <w:rsid w:val="2CED3AD0"/>
    <w:rsid w:val="2CF17207"/>
    <w:rsid w:val="2D154B75"/>
    <w:rsid w:val="2D431E0F"/>
    <w:rsid w:val="2D4D7650"/>
    <w:rsid w:val="2D5532B0"/>
    <w:rsid w:val="2D5D1164"/>
    <w:rsid w:val="2D63276F"/>
    <w:rsid w:val="2D763A24"/>
    <w:rsid w:val="2DA51213"/>
    <w:rsid w:val="2E1830EB"/>
    <w:rsid w:val="2E1E6FD3"/>
    <w:rsid w:val="2E425882"/>
    <w:rsid w:val="2E4647A4"/>
    <w:rsid w:val="2EDD2069"/>
    <w:rsid w:val="2EE50C28"/>
    <w:rsid w:val="2F397CB8"/>
    <w:rsid w:val="2F6158E4"/>
    <w:rsid w:val="2F9848AA"/>
    <w:rsid w:val="2FAA03CA"/>
    <w:rsid w:val="2FB7544A"/>
    <w:rsid w:val="2FDE0A0C"/>
    <w:rsid w:val="2FF24471"/>
    <w:rsid w:val="30BA6D84"/>
    <w:rsid w:val="30C453CD"/>
    <w:rsid w:val="30E74C1D"/>
    <w:rsid w:val="3152027C"/>
    <w:rsid w:val="3156082C"/>
    <w:rsid w:val="31820C28"/>
    <w:rsid w:val="31C62D89"/>
    <w:rsid w:val="320D1A1B"/>
    <w:rsid w:val="326219C0"/>
    <w:rsid w:val="330C08D9"/>
    <w:rsid w:val="33453C3B"/>
    <w:rsid w:val="33A857CE"/>
    <w:rsid w:val="33CB48F2"/>
    <w:rsid w:val="33EF1BA6"/>
    <w:rsid w:val="34334038"/>
    <w:rsid w:val="34442078"/>
    <w:rsid w:val="3456129A"/>
    <w:rsid w:val="345B7A9F"/>
    <w:rsid w:val="34C038F5"/>
    <w:rsid w:val="34C53661"/>
    <w:rsid w:val="34FB1625"/>
    <w:rsid w:val="3545588B"/>
    <w:rsid w:val="355C133F"/>
    <w:rsid w:val="35D75E45"/>
    <w:rsid w:val="35D81F05"/>
    <w:rsid w:val="360D4313"/>
    <w:rsid w:val="36502CC4"/>
    <w:rsid w:val="369E0892"/>
    <w:rsid w:val="36E150DC"/>
    <w:rsid w:val="37042749"/>
    <w:rsid w:val="37B86744"/>
    <w:rsid w:val="37DA445E"/>
    <w:rsid w:val="3811412B"/>
    <w:rsid w:val="38263322"/>
    <w:rsid w:val="383B512F"/>
    <w:rsid w:val="38421B19"/>
    <w:rsid w:val="3881606E"/>
    <w:rsid w:val="388F1E95"/>
    <w:rsid w:val="38A77BCE"/>
    <w:rsid w:val="38B75F5E"/>
    <w:rsid w:val="38C64A69"/>
    <w:rsid w:val="393B2A2C"/>
    <w:rsid w:val="39A87B60"/>
    <w:rsid w:val="39B054BE"/>
    <w:rsid w:val="3A2E4015"/>
    <w:rsid w:val="3A4D7E6E"/>
    <w:rsid w:val="3A5A206E"/>
    <w:rsid w:val="3AA538E0"/>
    <w:rsid w:val="3AEC4DDA"/>
    <w:rsid w:val="3AEC50AC"/>
    <w:rsid w:val="3B345984"/>
    <w:rsid w:val="3B4621CF"/>
    <w:rsid w:val="3BAA1763"/>
    <w:rsid w:val="3BB309F7"/>
    <w:rsid w:val="3C0768BA"/>
    <w:rsid w:val="3C1B4EB9"/>
    <w:rsid w:val="3C9B0EA4"/>
    <w:rsid w:val="3CBE3198"/>
    <w:rsid w:val="3CC57EC2"/>
    <w:rsid w:val="3CE43332"/>
    <w:rsid w:val="3D466E8C"/>
    <w:rsid w:val="3D645AA3"/>
    <w:rsid w:val="3DB71947"/>
    <w:rsid w:val="3DC55E02"/>
    <w:rsid w:val="3DCE668A"/>
    <w:rsid w:val="3DEE53B3"/>
    <w:rsid w:val="3E0A1429"/>
    <w:rsid w:val="3E105D56"/>
    <w:rsid w:val="3E1C66D3"/>
    <w:rsid w:val="3E6E464D"/>
    <w:rsid w:val="3E7214AD"/>
    <w:rsid w:val="3EB24EC3"/>
    <w:rsid w:val="3ED66F1D"/>
    <w:rsid w:val="3EE4479A"/>
    <w:rsid w:val="3F2B0694"/>
    <w:rsid w:val="3F7F10B4"/>
    <w:rsid w:val="403D78B1"/>
    <w:rsid w:val="40711203"/>
    <w:rsid w:val="40894112"/>
    <w:rsid w:val="40970E8F"/>
    <w:rsid w:val="40D57DED"/>
    <w:rsid w:val="40DB2142"/>
    <w:rsid w:val="41047364"/>
    <w:rsid w:val="4136776B"/>
    <w:rsid w:val="41381F0D"/>
    <w:rsid w:val="41440C19"/>
    <w:rsid w:val="418D56C7"/>
    <w:rsid w:val="41AD6A4E"/>
    <w:rsid w:val="4211794A"/>
    <w:rsid w:val="4227324E"/>
    <w:rsid w:val="422C4F5D"/>
    <w:rsid w:val="42410ADF"/>
    <w:rsid w:val="42627431"/>
    <w:rsid w:val="42845443"/>
    <w:rsid w:val="42A220DD"/>
    <w:rsid w:val="42D7216B"/>
    <w:rsid w:val="42F713BD"/>
    <w:rsid w:val="434370AD"/>
    <w:rsid w:val="434F7BB1"/>
    <w:rsid w:val="43535585"/>
    <w:rsid w:val="43B6162D"/>
    <w:rsid w:val="43D11130"/>
    <w:rsid w:val="43F81C55"/>
    <w:rsid w:val="441143C8"/>
    <w:rsid w:val="44293980"/>
    <w:rsid w:val="44422C96"/>
    <w:rsid w:val="44894457"/>
    <w:rsid w:val="449A054C"/>
    <w:rsid w:val="44C5461A"/>
    <w:rsid w:val="44D71ED1"/>
    <w:rsid w:val="44E24ACB"/>
    <w:rsid w:val="45305EA7"/>
    <w:rsid w:val="45542125"/>
    <w:rsid w:val="455664FC"/>
    <w:rsid w:val="464E34E7"/>
    <w:rsid w:val="465E6259"/>
    <w:rsid w:val="46602AC9"/>
    <w:rsid w:val="467A0EF2"/>
    <w:rsid w:val="46E7240A"/>
    <w:rsid w:val="46E947B5"/>
    <w:rsid w:val="470B10B8"/>
    <w:rsid w:val="479E0F2A"/>
    <w:rsid w:val="47CA56A6"/>
    <w:rsid w:val="47E86474"/>
    <w:rsid w:val="47F3410F"/>
    <w:rsid w:val="487F1C19"/>
    <w:rsid w:val="488C1B7A"/>
    <w:rsid w:val="48B54CF7"/>
    <w:rsid w:val="48D12863"/>
    <w:rsid w:val="48FC4AE8"/>
    <w:rsid w:val="491966F6"/>
    <w:rsid w:val="4945774E"/>
    <w:rsid w:val="494A6F42"/>
    <w:rsid w:val="49605330"/>
    <w:rsid w:val="49734AD0"/>
    <w:rsid w:val="497A6F93"/>
    <w:rsid w:val="499A6303"/>
    <w:rsid w:val="49BF4FB3"/>
    <w:rsid w:val="49C053B1"/>
    <w:rsid w:val="4A2C39B3"/>
    <w:rsid w:val="4A2D04C7"/>
    <w:rsid w:val="4A7E27A1"/>
    <w:rsid w:val="4A8364A6"/>
    <w:rsid w:val="4ACA17C8"/>
    <w:rsid w:val="4ACD4877"/>
    <w:rsid w:val="4AEC627C"/>
    <w:rsid w:val="4B0364CB"/>
    <w:rsid w:val="4B2D23C9"/>
    <w:rsid w:val="4B386DCB"/>
    <w:rsid w:val="4B4B6AFE"/>
    <w:rsid w:val="4B5D2176"/>
    <w:rsid w:val="4B860C89"/>
    <w:rsid w:val="4C106B88"/>
    <w:rsid w:val="4C1B79E0"/>
    <w:rsid w:val="4C515E98"/>
    <w:rsid w:val="4C542DA7"/>
    <w:rsid w:val="4C585AC0"/>
    <w:rsid w:val="4C612D7C"/>
    <w:rsid w:val="4C654538"/>
    <w:rsid w:val="4CAF57B3"/>
    <w:rsid w:val="4CB8140E"/>
    <w:rsid w:val="4CCE5654"/>
    <w:rsid w:val="4CD91D2B"/>
    <w:rsid w:val="4CDC516F"/>
    <w:rsid w:val="4D096BD6"/>
    <w:rsid w:val="4D6C35AF"/>
    <w:rsid w:val="4E10201F"/>
    <w:rsid w:val="4E141D94"/>
    <w:rsid w:val="4E3311E3"/>
    <w:rsid w:val="4E410152"/>
    <w:rsid w:val="4E5B174E"/>
    <w:rsid w:val="4E8D1BB0"/>
    <w:rsid w:val="4ECB2014"/>
    <w:rsid w:val="4F227482"/>
    <w:rsid w:val="4F3623E9"/>
    <w:rsid w:val="4F6A776F"/>
    <w:rsid w:val="4F7300DF"/>
    <w:rsid w:val="4F8B6CCD"/>
    <w:rsid w:val="4F941D50"/>
    <w:rsid w:val="4F9A102A"/>
    <w:rsid w:val="4FBF5D0D"/>
    <w:rsid w:val="4FED59C2"/>
    <w:rsid w:val="50145307"/>
    <w:rsid w:val="50267E1B"/>
    <w:rsid w:val="50391C79"/>
    <w:rsid w:val="50542617"/>
    <w:rsid w:val="50656016"/>
    <w:rsid w:val="506F7733"/>
    <w:rsid w:val="5090030C"/>
    <w:rsid w:val="509C47A7"/>
    <w:rsid w:val="511C2B4D"/>
    <w:rsid w:val="5120073C"/>
    <w:rsid w:val="512A04D6"/>
    <w:rsid w:val="513C75A3"/>
    <w:rsid w:val="51437614"/>
    <w:rsid w:val="51776076"/>
    <w:rsid w:val="517E3294"/>
    <w:rsid w:val="51A31491"/>
    <w:rsid w:val="51C73BA5"/>
    <w:rsid w:val="51CE3DF5"/>
    <w:rsid w:val="51E47372"/>
    <w:rsid w:val="51E5228A"/>
    <w:rsid w:val="5208419F"/>
    <w:rsid w:val="524C091F"/>
    <w:rsid w:val="52550A36"/>
    <w:rsid w:val="526531BD"/>
    <w:rsid w:val="527155A6"/>
    <w:rsid w:val="52750452"/>
    <w:rsid w:val="52794A1A"/>
    <w:rsid w:val="527B4BEF"/>
    <w:rsid w:val="52835B77"/>
    <w:rsid w:val="528E3015"/>
    <w:rsid w:val="535D3B89"/>
    <w:rsid w:val="538F7D7A"/>
    <w:rsid w:val="539C087D"/>
    <w:rsid w:val="53AC778F"/>
    <w:rsid w:val="53D7CFDD"/>
    <w:rsid w:val="53E176FD"/>
    <w:rsid w:val="542647B1"/>
    <w:rsid w:val="542814F1"/>
    <w:rsid w:val="543741C4"/>
    <w:rsid w:val="544A048D"/>
    <w:rsid w:val="545F06E2"/>
    <w:rsid w:val="54651D32"/>
    <w:rsid w:val="546B75FF"/>
    <w:rsid w:val="55235605"/>
    <w:rsid w:val="552E5637"/>
    <w:rsid w:val="5532168C"/>
    <w:rsid w:val="553E2562"/>
    <w:rsid w:val="555907EC"/>
    <w:rsid w:val="555955E5"/>
    <w:rsid w:val="556351B0"/>
    <w:rsid w:val="558836BB"/>
    <w:rsid w:val="55AA4DBE"/>
    <w:rsid w:val="55BA1431"/>
    <w:rsid w:val="55C45E2B"/>
    <w:rsid w:val="561077D0"/>
    <w:rsid w:val="562E5BE5"/>
    <w:rsid w:val="56CA7184"/>
    <w:rsid w:val="57273877"/>
    <w:rsid w:val="57460690"/>
    <w:rsid w:val="5756181E"/>
    <w:rsid w:val="57E40F79"/>
    <w:rsid w:val="57FD1A7B"/>
    <w:rsid w:val="58070251"/>
    <w:rsid w:val="5830770F"/>
    <w:rsid w:val="58535244"/>
    <w:rsid w:val="585DEB32"/>
    <w:rsid w:val="58FC75B5"/>
    <w:rsid w:val="591A2206"/>
    <w:rsid w:val="594E495B"/>
    <w:rsid w:val="59745DBA"/>
    <w:rsid w:val="5976461B"/>
    <w:rsid w:val="597C1C42"/>
    <w:rsid w:val="59C55E10"/>
    <w:rsid w:val="59E051FD"/>
    <w:rsid w:val="59FD52AD"/>
    <w:rsid w:val="5A202097"/>
    <w:rsid w:val="5A87698E"/>
    <w:rsid w:val="5AB37688"/>
    <w:rsid w:val="5AB9EBF2"/>
    <w:rsid w:val="5AC54FD9"/>
    <w:rsid w:val="5ACB4FD9"/>
    <w:rsid w:val="5AE43781"/>
    <w:rsid w:val="5AF753A2"/>
    <w:rsid w:val="5B096777"/>
    <w:rsid w:val="5B5E518C"/>
    <w:rsid w:val="5B672084"/>
    <w:rsid w:val="5B9725C5"/>
    <w:rsid w:val="5B9914F6"/>
    <w:rsid w:val="5BC5606F"/>
    <w:rsid w:val="5C1F5280"/>
    <w:rsid w:val="5C49312D"/>
    <w:rsid w:val="5C7B7F5A"/>
    <w:rsid w:val="5C820180"/>
    <w:rsid w:val="5C8340A0"/>
    <w:rsid w:val="5C9E2035"/>
    <w:rsid w:val="5CA462A4"/>
    <w:rsid w:val="5CCC50F7"/>
    <w:rsid w:val="5CD4639C"/>
    <w:rsid w:val="5CE25E0F"/>
    <w:rsid w:val="5CE647C9"/>
    <w:rsid w:val="5D181B1F"/>
    <w:rsid w:val="5D1D6B34"/>
    <w:rsid w:val="5D1F0CC6"/>
    <w:rsid w:val="5D291DFD"/>
    <w:rsid w:val="5D3B0ADE"/>
    <w:rsid w:val="5D476AB7"/>
    <w:rsid w:val="5DAC115C"/>
    <w:rsid w:val="5DC81905"/>
    <w:rsid w:val="5DCE20DC"/>
    <w:rsid w:val="5E1452E5"/>
    <w:rsid w:val="5E167D8E"/>
    <w:rsid w:val="5E3153F3"/>
    <w:rsid w:val="5F07037E"/>
    <w:rsid w:val="5F1D2B0D"/>
    <w:rsid w:val="60016C28"/>
    <w:rsid w:val="603178B5"/>
    <w:rsid w:val="60402A4B"/>
    <w:rsid w:val="608804D3"/>
    <w:rsid w:val="608A2393"/>
    <w:rsid w:val="60BF19DB"/>
    <w:rsid w:val="60DE4ED0"/>
    <w:rsid w:val="61126F33"/>
    <w:rsid w:val="612B6587"/>
    <w:rsid w:val="61771CA4"/>
    <w:rsid w:val="61843C38"/>
    <w:rsid w:val="61D2367E"/>
    <w:rsid w:val="623954AB"/>
    <w:rsid w:val="6247406C"/>
    <w:rsid w:val="6290326D"/>
    <w:rsid w:val="629A31FA"/>
    <w:rsid w:val="62A5027E"/>
    <w:rsid w:val="631C2B20"/>
    <w:rsid w:val="635822A8"/>
    <w:rsid w:val="636B7F27"/>
    <w:rsid w:val="637C7D45"/>
    <w:rsid w:val="63BC1797"/>
    <w:rsid w:val="63D515EF"/>
    <w:rsid w:val="642B10F6"/>
    <w:rsid w:val="64357D9A"/>
    <w:rsid w:val="647A2F66"/>
    <w:rsid w:val="64877FBF"/>
    <w:rsid w:val="64D96461"/>
    <w:rsid w:val="65003833"/>
    <w:rsid w:val="65112C81"/>
    <w:rsid w:val="65236E04"/>
    <w:rsid w:val="653518B0"/>
    <w:rsid w:val="653D4810"/>
    <w:rsid w:val="654D40B9"/>
    <w:rsid w:val="6550236A"/>
    <w:rsid w:val="65707E62"/>
    <w:rsid w:val="6576024B"/>
    <w:rsid w:val="657F43F5"/>
    <w:rsid w:val="65AE7F5E"/>
    <w:rsid w:val="65B06217"/>
    <w:rsid w:val="65D11318"/>
    <w:rsid w:val="66141D20"/>
    <w:rsid w:val="66156FC7"/>
    <w:rsid w:val="66497FCC"/>
    <w:rsid w:val="66531B2A"/>
    <w:rsid w:val="66B273FC"/>
    <w:rsid w:val="66B97EC3"/>
    <w:rsid w:val="66F56CC1"/>
    <w:rsid w:val="67207022"/>
    <w:rsid w:val="6727539B"/>
    <w:rsid w:val="67AF18AB"/>
    <w:rsid w:val="67E10EBF"/>
    <w:rsid w:val="68145474"/>
    <w:rsid w:val="68256D2A"/>
    <w:rsid w:val="683A1FEB"/>
    <w:rsid w:val="683F7763"/>
    <w:rsid w:val="684A37FB"/>
    <w:rsid w:val="689234F6"/>
    <w:rsid w:val="68C305BF"/>
    <w:rsid w:val="68D0643D"/>
    <w:rsid w:val="68E675CF"/>
    <w:rsid w:val="68F07664"/>
    <w:rsid w:val="69156FAD"/>
    <w:rsid w:val="691B0435"/>
    <w:rsid w:val="692E20A0"/>
    <w:rsid w:val="6953779A"/>
    <w:rsid w:val="69D609CB"/>
    <w:rsid w:val="69E06B54"/>
    <w:rsid w:val="69E55377"/>
    <w:rsid w:val="6A2C3B47"/>
    <w:rsid w:val="6A5E67E5"/>
    <w:rsid w:val="6A941C46"/>
    <w:rsid w:val="6A9844C1"/>
    <w:rsid w:val="6AC15F2E"/>
    <w:rsid w:val="6B0E296B"/>
    <w:rsid w:val="6B1436BE"/>
    <w:rsid w:val="6B230070"/>
    <w:rsid w:val="6BA868FA"/>
    <w:rsid w:val="6C0A44B4"/>
    <w:rsid w:val="6C2A301A"/>
    <w:rsid w:val="6C7E2BB3"/>
    <w:rsid w:val="6C8E35F5"/>
    <w:rsid w:val="6C925C46"/>
    <w:rsid w:val="6CC263B6"/>
    <w:rsid w:val="6CF40510"/>
    <w:rsid w:val="6D24584D"/>
    <w:rsid w:val="6D344C33"/>
    <w:rsid w:val="6D614805"/>
    <w:rsid w:val="6D765DDF"/>
    <w:rsid w:val="6DA33389"/>
    <w:rsid w:val="6DCB02E9"/>
    <w:rsid w:val="6E202950"/>
    <w:rsid w:val="6EA6764F"/>
    <w:rsid w:val="6F180FFA"/>
    <w:rsid w:val="6F986726"/>
    <w:rsid w:val="6FD208ED"/>
    <w:rsid w:val="6FDB5DF3"/>
    <w:rsid w:val="70026DAD"/>
    <w:rsid w:val="704D519B"/>
    <w:rsid w:val="704E4344"/>
    <w:rsid w:val="70525556"/>
    <w:rsid w:val="70592688"/>
    <w:rsid w:val="70697BE2"/>
    <w:rsid w:val="708A46FF"/>
    <w:rsid w:val="70983CE4"/>
    <w:rsid w:val="70AB56EB"/>
    <w:rsid w:val="70CC194B"/>
    <w:rsid w:val="70DB25F9"/>
    <w:rsid w:val="70DE3A31"/>
    <w:rsid w:val="70F263FD"/>
    <w:rsid w:val="710E0579"/>
    <w:rsid w:val="71147611"/>
    <w:rsid w:val="715B3C16"/>
    <w:rsid w:val="715C24A0"/>
    <w:rsid w:val="716273E8"/>
    <w:rsid w:val="71CD42F2"/>
    <w:rsid w:val="72604CD6"/>
    <w:rsid w:val="72803D17"/>
    <w:rsid w:val="72FD6724"/>
    <w:rsid w:val="73682094"/>
    <w:rsid w:val="736E55CF"/>
    <w:rsid w:val="736F4218"/>
    <w:rsid w:val="73A66718"/>
    <w:rsid w:val="73C37AD0"/>
    <w:rsid w:val="73FB5762"/>
    <w:rsid w:val="7426700C"/>
    <w:rsid w:val="745D2EBC"/>
    <w:rsid w:val="74770579"/>
    <w:rsid w:val="747F443E"/>
    <w:rsid w:val="748C302B"/>
    <w:rsid w:val="74A56C3E"/>
    <w:rsid w:val="74CB5108"/>
    <w:rsid w:val="74EB3053"/>
    <w:rsid w:val="74F47B07"/>
    <w:rsid w:val="74F61C8A"/>
    <w:rsid w:val="75630B92"/>
    <w:rsid w:val="75C258B4"/>
    <w:rsid w:val="75F410EC"/>
    <w:rsid w:val="76453C33"/>
    <w:rsid w:val="764957AC"/>
    <w:rsid w:val="76694CA9"/>
    <w:rsid w:val="76A81685"/>
    <w:rsid w:val="76CF5922"/>
    <w:rsid w:val="773445FD"/>
    <w:rsid w:val="773E125B"/>
    <w:rsid w:val="775E64F6"/>
    <w:rsid w:val="77840836"/>
    <w:rsid w:val="77C74EAF"/>
    <w:rsid w:val="77FE1489"/>
    <w:rsid w:val="78217F38"/>
    <w:rsid w:val="784C2F76"/>
    <w:rsid w:val="785C781B"/>
    <w:rsid w:val="78976100"/>
    <w:rsid w:val="78B500A5"/>
    <w:rsid w:val="78C0202A"/>
    <w:rsid w:val="78D70769"/>
    <w:rsid w:val="78F56010"/>
    <w:rsid w:val="79425123"/>
    <w:rsid w:val="794B503C"/>
    <w:rsid w:val="79504EE1"/>
    <w:rsid w:val="797028AF"/>
    <w:rsid w:val="79D378A8"/>
    <w:rsid w:val="79DB4818"/>
    <w:rsid w:val="7A211BA3"/>
    <w:rsid w:val="7A267F03"/>
    <w:rsid w:val="7A2B3784"/>
    <w:rsid w:val="7A303FBC"/>
    <w:rsid w:val="7A33202D"/>
    <w:rsid w:val="7AAB54FC"/>
    <w:rsid w:val="7AB74341"/>
    <w:rsid w:val="7AE24C58"/>
    <w:rsid w:val="7AE907E0"/>
    <w:rsid w:val="7AF578B4"/>
    <w:rsid w:val="7AF64768"/>
    <w:rsid w:val="7B017280"/>
    <w:rsid w:val="7B3B2CE1"/>
    <w:rsid w:val="7B51638F"/>
    <w:rsid w:val="7B611917"/>
    <w:rsid w:val="7BDA0C03"/>
    <w:rsid w:val="7BF134D8"/>
    <w:rsid w:val="7C516CDF"/>
    <w:rsid w:val="7C8D0094"/>
    <w:rsid w:val="7D112E91"/>
    <w:rsid w:val="7D4B1B35"/>
    <w:rsid w:val="7D4B4286"/>
    <w:rsid w:val="7D52485C"/>
    <w:rsid w:val="7D694F40"/>
    <w:rsid w:val="7D8F3A57"/>
    <w:rsid w:val="7DBB5521"/>
    <w:rsid w:val="7E2D1CE5"/>
    <w:rsid w:val="7E8B7C96"/>
    <w:rsid w:val="7EC371FB"/>
    <w:rsid w:val="7EE61BC6"/>
    <w:rsid w:val="7F44062C"/>
    <w:rsid w:val="7F4705C7"/>
    <w:rsid w:val="7F86498E"/>
    <w:rsid w:val="7F8B43E9"/>
    <w:rsid w:val="7FA2305D"/>
    <w:rsid w:val="7FDFD705"/>
    <w:rsid w:val="CFE7A1C1"/>
    <w:rsid w:val="DFFD448A"/>
    <w:rsid w:val="EABB5B63"/>
    <w:rsid w:val="EBFE91DF"/>
    <w:rsid w:val="ED7C7A32"/>
    <w:rsid w:val="EE3D858B"/>
    <w:rsid w:val="EFF3E66E"/>
    <w:rsid w:val="F597FC8C"/>
    <w:rsid w:val="FBFD051D"/>
    <w:rsid w:val="FF883D7F"/>
    <w:rsid w:val="FFADEF06"/>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link w:val="54"/>
    <w:qFormat/>
    <w:uiPriority w:val="99"/>
    <w:pPr>
      <w:spacing w:before="0" w:after="330" w:line="576" w:lineRule="auto"/>
      <w:outlineLvl w:val="0"/>
    </w:pPr>
    <w:rPr>
      <w:b/>
      <w:sz w:val="44"/>
      <w:szCs w:val="44"/>
    </w:rPr>
  </w:style>
  <w:style w:type="paragraph" w:styleId="5">
    <w:name w:val="heading 2"/>
    <w:basedOn w:val="1"/>
    <w:next w:val="1"/>
    <w:link w:val="55"/>
    <w:qFormat/>
    <w:uiPriority w:val="99"/>
    <w:pPr>
      <w:spacing w:before="0" w:after="260" w:line="415" w:lineRule="auto"/>
      <w:outlineLvl w:val="1"/>
    </w:pPr>
    <w:rPr>
      <w:rFonts w:ascii="Arial" w:hAnsi="Arial" w:eastAsia="黑体"/>
      <w:b/>
      <w:sz w:val="32"/>
      <w:szCs w:val="32"/>
    </w:rPr>
  </w:style>
  <w:style w:type="paragraph" w:styleId="6">
    <w:name w:val="heading 3"/>
    <w:basedOn w:val="1"/>
    <w:next w:val="1"/>
    <w:link w:val="56"/>
    <w:qFormat/>
    <w:uiPriority w:val="99"/>
    <w:pPr>
      <w:outlineLvl w:val="2"/>
    </w:pPr>
    <w:rPr>
      <w:b/>
      <w:sz w:val="24"/>
      <w:szCs w:val="24"/>
    </w:rPr>
  </w:style>
  <w:style w:type="paragraph" w:styleId="3">
    <w:name w:val="heading 4"/>
    <w:basedOn w:val="1"/>
    <w:next w:val="1"/>
    <w:qFormat/>
    <w:uiPriority w:val="0"/>
    <w:pPr>
      <w:numPr>
        <w:ilvl w:val="3"/>
        <w:numId w:val="1"/>
      </w:numPr>
      <w:outlineLvl w:val="3"/>
    </w:pPr>
    <w:rPr>
      <w:rFonts w:ascii="Arial" w:hAnsi="Arial"/>
      <w:b/>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50"/>
    <w:unhideWhenUsed/>
    <w:qFormat/>
    <w:uiPriority w:val="99"/>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link w:val="59"/>
    <w:semiHidden/>
    <w:unhideWhenUsed/>
    <w:qFormat/>
    <w:uiPriority w:val="0"/>
    <w:pPr>
      <w:spacing w:after="0"/>
      <w:jc w:val="left"/>
    </w:pPr>
  </w:style>
  <w:style w:type="paragraph" w:styleId="10">
    <w:name w:val="Body Text Indent"/>
    <w:basedOn w:val="1"/>
    <w:qFormat/>
    <w:uiPriority w:val="0"/>
    <w:pPr>
      <w:spacing w:after="120"/>
      <w:ind w:left="420" w:leftChars="20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link w:val="58"/>
    <w:qFormat/>
    <w:uiPriority w:val="99"/>
    <w:pPr>
      <w:tabs>
        <w:tab w:val="center" w:pos="4153"/>
        <w:tab w:val="right" w:pos="8306"/>
      </w:tabs>
      <w:snapToGrid w:val="0"/>
      <w:jc w:val="left"/>
    </w:pPr>
    <w:rPr>
      <w:sz w:val="18"/>
      <w:szCs w:val="18"/>
    </w:rPr>
  </w:style>
  <w:style w:type="paragraph" w:styleId="16">
    <w:name w:val="header"/>
    <w:basedOn w:val="1"/>
    <w:link w:val="60"/>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Normal (Web)"/>
    <w:basedOn w:val="1"/>
    <w:qFormat/>
    <w:uiPriority w:val="99"/>
    <w:pPr>
      <w:spacing w:before="100" w:beforeAutospacing="1"/>
      <w:jc w:val="left"/>
    </w:pPr>
    <w:rPr>
      <w:rFonts w:ascii="宋体" w:hAnsi="宋体"/>
      <w:sz w:val="24"/>
    </w:rPr>
  </w:style>
  <w:style w:type="paragraph" w:styleId="26">
    <w:name w:val="annotation subject"/>
    <w:basedOn w:val="9"/>
    <w:next w:val="9"/>
    <w:semiHidden/>
    <w:unhideWhenUsed/>
    <w:qFormat/>
    <w:uiPriority w:val="0"/>
    <w:rPr>
      <w:b/>
    </w:rPr>
  </w:style>
  <w:style w:type="paragraph" w:styleId="27">
    <w:name w:val="Body Text First Indent 2"/>
    <w:basedOn w:val="10"/>
    <w:qFormat/>
    <w:uiPriority w:val="0"/>
    <w:pPr>
      <w:autoSpaceDE w:val="0"/>
      <w:autoSpaceDN w:val="0"/>
      <w:spacing w:before="100" w:beforeAutospacing="1" w:after="100" w:line="240" w:lineRule="auto"/>
      <w:ind w:left="200"/>
    </w:p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FollowedHyperlink"/>
    <w:basedOn w:val="30"/>
    <w:semiHidden/>
    <w:unhideWhenUsed/>
    <w:qFormat/>
    <w:uiPriority w:val="99"/>
    <w:rPr>
      <w:color w:val="800080"/>
      <w:u w:val="single"/>
    </w:rPr>
  </w:style>
  <w:style w:type="character" w:styleId="34">
    <w:name w:val="Hyperlink"/>
    <w:basedOn w:val="30"/>
    <w:unhideWhenUsed/>
    <w:qFormat/>
    <w:uiPriority w:val="99"/>
    <w:rPr>
      <w:color w:val="0000FF"/>
      <w:u w:val="single"/>
    </w:rPr>
  </w:style>
  <w:style w:type="character" w:styleId="35">
    <w:name w:val="annotation reference"/>
    <w:basedOn w:val="30"/>
    <w:semiHidden/>
    <w:unhideWhenUsed/>
    <w:qFormat/>
    <w:uiPriority w:val="0"/>
    <w:rPr>
      <w:sz w:val="21"/>
      <w:szCs w:val="21"/>
    </w:rPr>
  </w:style>
  <w:style w:type="character" w:styleId="36">
    <w:name w:val="footnote reference"/>
    <w:basedOn w:val="30"/>
    <w:semiHidden/>
    <w:unhideWhenUsed/>
    <w:qFormat/>
    <w:uiPriority w:val="0"/>
    <w:rPr>
      <w:vertAlign w:val="superscript"/>
    </w:rPr>
  </w:style>
  <w:style w:type="paragraph" w:styleId="37">
    <w:name w:val="List Paragraph"/>
    <w:basedOn w:val="1"/>
    <w:qFormat/>
    <w:uiPriority w:val="34"/>
    <w:pPr>
      <w:ind w:firstLine="200"/>
    </w:pPr>
    <w:rPr>
      <w:rFonts w:ascii="Calibri" w:hAnsi="Calibri"/>
    </w:rPr>
  </w:style>
  <w:style w:type="character" w:customStyle="1" w:styleId="38">
    <w:name w:val="正文文本 2 Char"/>
    <w:basedOn w:val="30"/>
    <w:qFormat/>
    <w:uiPriority w:val="0"/>
    <w:rPr>
      <w:rFonts w:ascii="Times New Roman" w:hAnsi="Times New Roman" w:eastAsia="宋体" w:cs="Times New Roman"/>
    </w:rPr>
  </w:style>
  <w:style w:type="character" w:customStyle="1" w:styleId="39">
    <w:name w:val="16"/>
    <w:basedOn w:val="30"/>
    <w:qFormat/>
    <w:uiPriority w:val="0"/>
    <w:rPr>
      <w:rFonts w:hint="default" w:ascii="Times New Roman" w:hAnsi="Times New Roman" w:cs="Times New Roman"/>
      <w:color w:val="0000FF"/>
      <w:u w:val="single"/>
    </w:rPr>
  </w:style>
  <w:style w:type="character" w:customStyle="1" w:styleId="40">
    <w:name w:val="15"/>
    <w:basedOn w:val="30"/>
    <w:qFormat/>
    <w:uiPriority w:val="0"/>
    <w:rPr>
      <w:rFonts w:hint="default" w:ascii="Times New Roman" w:hAnsi="Times New Roman" w:cs="Times New Roman"/>
      <w:color w:val="0000FF"/>
      <w:u w:val="single"/>
    </w:rPr>
  </w:style>
  <w:style w:type="character" w:customStyle="1" w:styleId="41">
    <w:name w:val="标题 3 Char"/>
    <w:qFormat/>
    <w:uiPriority w:val="0"/>
    <w:rPr>
      <w:b/>
      <w:sz w:val="24"/>
      <w:szCs w:val="24"/>
    </w:rPr>
  </w:style>
  <w:style w:type="character" w:customStyle="1" w:styleId="42">
    <w:name w:val="标题 2 Char"/>
    <w:qFormat/>
    <w:uiPriority w:val="0"/>
    <w:rPr>
      <w:rFonts w:ascii="Arial" w:hAnsi="Arial" w:eastAsia="黑体"/>
      <w:b/>
      <w:sz w:val="32"/>
      <w:szCs w:val="32"/>
    </w:rPr>
  </w:style>
  <w:style w:type="character" w:customStyle="1" w:styleId="43">
    <w:name w:val="批注框文本 Char"/>
    <w:basedOn w:val="30"/>
    <w:semiHidden/>
    <w:qFormat/>
    <w:uiPriority w:val="0"/>
    <w:rPr>
      <w:sz w:val="18"/>
      <w:szCs w:val="18"/>
    </w:rPr>
  </w:style>
  <w:style w:type="character" w:customStyle="1" w:styleId="44">
    <w:name w:val="批注文字 Char"/>
    <w:basedOn w:val="30"/>
    <w:semiHidden/>
    <w:qFormat/>
    <w:uiPriority w:val="0"/>
    <w:rPr>
      <w:sz w:val="21"/>
      <w:szCs w:val="21"/>
    </w:rPr>
  </w:style>
  <w:style w:type="character" w:customStyle="1" w:styleId="45">
    <w:name w:val="批注主题 Char"/>
    <w:basedOn w:val="44"/>
    <w:semiHidden/>
    <w:qFormat/>
    <w:uiPriority w:val="0"/>
    <w:rPr>
      <w:b/>
      <w:sz w:val="21"/>
      <w:szCs w:val="21"/>
    </w:rPr>
  </w:style>
  <w:style w:type="character" w:customStyle="1" w:styleId="46">
    <w:name w:val="文档结构图 Char"/>
    <w:basedOn w:val="30"/>
    <w:semiHidden/>
    <w:qFormat/>
    <w:uiPriority w:val="0"/>
    <w:rPr>
      <w:rFonts w:ascii="宋体"/>
      <w:sz w:val="18"/>
      <w:szCs w:val="18"/>
    </w:rPr>
  </w:style>
  <w:style w:type="character" w:customStyle="1" w:styleId="47">
    <w:name w:val="页脚 Char"/>
    <w:qFormat/>
    <w:uiPriority w:val="99"/>
    <w:rPr>
      <w:sz w:val="18"/>
      <w:szCs w:val="18"/>
    </w:rPr>
  </w:style>
  <w:style w:type="character" w:customStyle="1" w:styleId="48">
    <w:name w:val="脚注文本 Char"/>
    <w:basedOn w:val="30"/>
    <w:semiHidden/>
    <w:qFormat/>
    <w:uiPriority w:val="0"/>
    <w:rPr>
      <w:sz w:val="18"/>
      <w:szCs w:val="18"/>
    </w:rPr>
  </w:style>
  <w:style w:type="paragraph" w:customStyle="1" w:styleId="49">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0">
    <w:name w:val="纯文本 字符"/>
    <w:link w:val="2"/>
    <w:qFormat/>
    <w:locked/>
    <w:uiPriority w:val="99"/>
    <w:rPr>
      <w:rFonts w:ascii="宋体" w:hAnsi="Courier New" w:cs="宋体"/>
    </w:rPr>
  </w:style>
  <w:style w:type="paragraph" w:customStyle="1" w:styleId="51">
    <w:name w:val="修订1"/>
    <w:hidden/>
    <w:semiHidden/>
    <w:qFormat/>
    <w:uiPriority w:val="99"/>
    <w:rPr>
      <w:rFonts w:ascii="Times New Roman" w:hAnsi="Times New Roman" w:eastAsia="宋体" w:cs="Times New Roman"/>
      <w:sz w:val="21"/>
      <w:szCs w:val="21"/>
      <w:lang w:val="en-US" w:eastAsia="zh-CN" w:bidi="ar-SA"/>
    </w:rPr>
  </w:style>
  <w:style w:type="paragraph" w:customStyle="1" w:styleId="52">
    <w:name w:val="修订2"/>
    <w:hidden/>
    <w:unhideWhenUsed/>
    <w:qFormat/>
    <w:uiPriority w:val="99"/>
    <w:rPr>
      <w:rFonts w:ascii="Times New Roman" w:hAnsi="Times New Roman" w:eastAsia="宋体" w:cs="Times New Roman"/>
      <w:sz w:val="21"/>
      <w:szCs w:val="21"/>
      <w:lang w:val="en-US" w:eastAsia="zh-CN" w:bidi="ar-SA"/>
    </w:rPr>
  </w:style>
  <w:style w:type="paragraph" w:customStyle="1" w:styleId="53">
    <w:name w:val="列出段落1"/>
    <w:basedOn w:val="1"/>
    <w:qFormat/>
    <w:uiPriority w:val="0"/>
    <w:pPr>
      <w:ind w:firstLine="420" w:firstLineChars="200"/>
    </w:pPr>
  </w:style>
  <w:style w:type="character" w:customStyle="1" w:styleId="54">
    <w:name w:val="标题 1 字符"/>
    <w:basedOn w:val="30"/>
    <w:link w:val="4"/>
    <w:qFormat/>
    <w:uiPriority w:val="99"/>
    <w:rPr>
      <w:b/>
      <w:sz w:val="44"/>
      <w:szCs w:val="44"/>
    </w:rPr>
  </w:style>
  <w:style w:type="character" w:customStyle="1" w:styleId="55">
    <w:name w:val="标题 2 字符"/>
    <w:basedOn w:val="30"/>
    <w:link w:val="5"/>
    <w:qFormat/>
    <w:uiPriority w:val="99"/>
    <w:rPr>
      <w:rFonts w:ascii="Arial" w:hAnsi="Arial" w:eastAsia="黑体"/>
      <w:b/>
      <w:sz w:val="32"/>
      <w:szCs w:val="32"/>
    </w:rPr>
  </w:style>
  <w:style w:type="character" w:customStyle="1" w:styleId="56">
    <w:name w:val="标题 3 字符"/>
    <w:basedOn w:val="30"/>
    <w:link w:val="6"/>
    <w:qFormat/>
    <w:uiPriority w:val="99"/>
    <w:rPr>
      <w:b/>
      <w:sz w:val="24"/>
      <w:szCs w:val="24"/>
    </w:rPr>
  </w:style>
  <w:style w:type="paragraph" w:customStyle="1" w:styleId="57">
    <w:name w:val="msonormal"/>
    <w:basedOn w:val="1"/>
    <w:qFormat/>
    <w:uiPriority w:val="0"/>
    <w:pPr>
      <w:spacing w:before="100" w:beforeAutospacing="1" w:line="240" w:lineRule="auto"/>
      <w:ind w:left="0" w:right="0" w:firstLine="0"/>
      <w:jc w:val="left"/>
    </w:pPr>
    <w:rPr>
      <w:rFonts w:ascii="宋体" w:hAnsi="宋体" w:cs="宋体"/>
      <w:sz w:val="24"/>
      <w:szCs w:val="24"/>
    </w:rPr>
  </w:style>
  <w:style w:type="character" w:customStyle="1" w:styleId="58">
    <w:name w:val="页脚 字符"/>
    <w:basedOn w:val="30"/>
    <w:link w:val="15"/>
    <w:qFormat/>
    <w:uiPriority w:val="99"/>
    <w:rPr>
      <w:sz w:val="18"/>
      <w:szCs w:val="18"/>
    </w:rPr>
  </w:style>
  <w:style w:type="character" w:customStyle="1" w:styleId="59">
    <w:name w:val="批注文字 字符"/>
    <w:basedOn w:val="30"/>
    <w:link w:val="9"/>
    <w:qFormat/>
    <w:uiPriority w:val="0"/>
    <w:rPr>
      <w:rFonts w:hint="default" w:ascii="Times New Roman" w:hAnsi="Times New Roman" w:cs="Times New Roman"/>
      <w:sz w:val="21"/>
      <w:szCs w:val="21"/>
    </w:rPr>
  </w:style>
  <w:style w:type="character" w:customStyle="1" w:styleId="60">
    <w:name w:val="页眉 字符"/>
    <w:basedOn w:val="30"/>
    <w:link w:val="16"/>
    <w:qFormat/>
    <w:uiPriority w:val="0"/>
    <w:rPr>
      <w:rFonts w:hint="default" w:ascii="Times New Roman" w:hAnsi="Times New Roman" w:cs="Times New Roman"/>
      <w:sz w:val="18"/>
      <w:szCs w:val="18"/>
    </w:rPr>
  </w:style>
  <w:style w:type="character" w:customStyle="1" w:styleId="61">
    <w:name w:val="正文文本 (3) + 间距 0 pt"/>
    <w:basedOn w:val="62"/>
    <w:qFormat/>
    <w:uiPriority w:val="0"/>
    <w:rPr>
      <w:rFonts w:ascii="MingLiU" w:hAnsi="MingLiU" w:eastAsia="MingLiU" w:cs="MingLiU"/>
      <w:color w:val="000000"/>
      <w:spacing w:val="10"/>
      <w:w w:val="100"/>
      <w:position w:val="0"/>
      <w:sz w:val="26"/>
      <w:szCs w:val="26"/>
      <w:u w:val="none"/>
      <w:lang w:val="zh-CN" w:eastAsia="zh-CN" w:bidi="zh-CN"/>
    </w:rPr>
  </w:style>
  <w:style w:type="character" w:customStyle="1" w:styleId="62">
    <w:name w:val="正文文本 (3)_"/>
    <w:basedOn w:val="30"/>
    <w:link w:val="63"/>
    <w:qFormat/>
    <w:uiPriority w:val="0"/>
    <w:rPr>
      <w:rFonts w:ascii="MingLiU" w:hAnsi="MingLiU" w:eastAsia="MingLiU" w:cs="MingLiU"/>
      <w:sz w:val="26"/>
      <w:szCs w:val="26"/>
      <w:lang w:eastAsia="en-US" w:bidi="en-US"/>
    </w:rPr>
  </w:style>
  <w:style w:type="paragraph" w:customStyle="1" w:styleId="63">
    <w:name w:val="正文文本 (3)"/>
    <w:basedOn w:val="1"/>
    <w:link w:val="62"/>
    <w:qFormat/>
    <w:uiPriority w:val="0"/>
    <w:pPr>
      <w:shd w:val="clear" w:color="auto" w:fill="FFFFFF"/>
      <w:spacing w:line="623" w:lineRule="exact"/>
      <w:jc w:val="distribute"/>
    </w:pPr>
    <w:rPr>
      <w:rFonts w:ascii="MingLiU" w:hAnsi="MingLiU" w:eastAsia="MingLiU" w:cs="MingLiU"/>
      <w:sz w:val="26"/>
      <w:szCs w:val="26"/>
      <w:lang w:eastAsia="en-US" w:bidi="en-US"/>
    </w:rPr>
  </w:style>
  <w:style w:type="paragraph" w:customStyle="1" w:styleId="64">
    <w:name w:val="WPSOffice手动目录 1"/>
    <w:qFormat/>
    <w:uiPriority w:val="0"/>
    <w:rPr>
      <w:rFonts w:ascii="Times New Roman" w:hAnsi="Times New Roman" w:eastAsia="宋体" w:cs="Times New Roman"/>
      <w:lang w:val="en-US" w:eastAsia="zh-CN" w:bidi="ar-SA"/>
    </w:rPr>
  </w:style>
  <w:style w:type="paragraph" w:customStyle="1" w:styleId="6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6">
    <w:name w:val="font21"/>
    <w:basedOn w:val="30"/>
    <w:qFormat/>
    <w:uiPriority w:val="0"/>
    <w:rPr>
      <w:rFonts w:hint="eastAsia" w:ascii="宋体" w:hAnsi="宋体" w:eastAsia="宋体" w:cs="宋体"/>
      <w:color w:val="000000"/>
      <w:sz w:val="21"/>
      <w:szCs w:val="21"/>
      <w:u w:val="none"/>
    </w:rPr>
  </w:style>
  <w:style w:type="character" w:customStyle="1" w:styleId="67">
    <w:name w:val="font11"/>
    <w:basedOn w:val="30"/>
    <w:qFormat/>
    <w:uiPriority w:val="0"/>
    <w:rPr>
      <w:rFonts w:ascii="Malgun Gothic" w:hAnsi="Malgun Gothic" w:eastAsia="Malgun Gothic" w:cs="Malgun Gothic"/>
      <w:color w:val="000000"/>
      <w:sz w:val="21"/>
      <w:szCs w:val="21"/>
      <w:u w:val="none"/>
    </w:rPr>
  </w:style>
  <w:style w:type="character" w:customStyle="1" w:styleId="68">
    <w:name w:val="first-child"/>
    <w:basedOn w:val="30"/>
    <w:qFormat/>
    <w:uiPriority w:val="0"/>
  </w:style>
  <w:style w:type="character" w:customStyle="1" w:styleId="69">
    <w:name w:val="layui-this"/>
    <w:basedOn w:val="30"/>
    <w:qFormat/>
    <w:uiPriority w:val="0"/>
    <w:rPr>
      <w:bdr w:val="single" w:color="EEEEEE" w:sz="6" w:space="0"/>
      <w:shd w:val="clear" w:color="auto" w:fill="FFFFFF"/>
    </w:rPr>
  </w:style>
  <w:style w:type="character" w:customStyle="1" w:styleId="70">
    <w:name w:val="font41"/>
    <w:basedOn w:val="30"/>
    <w:unhideWhenUsed/>
    <w:qFormat/>
    <w:uiPriority w:val="0"/>
    <w:rPr>
      <w:rFonts w:hint="default" w:ascii="Wingdings 2" w:hAnsi="Wingdings 2" w:eastAsia="Wingdings 2" w:cs="Wingdings 2"/>
      <w:color w:val="000000"/>
      <w:sz w:val="22"/>
      <w:szCs w:val="22"/>
    </w:rPr>
  </w:style>
  <w:style w:type="character" w:customStyle="1" w:styleId="71">
    <w:name w:val="font01"/>
    <w:basedOn w:val="30"/>
    <w:unhideWhenUsed/>
    <w:qFormat/>
    <w:uiPriority w:val="0"/>
    <w:rPr>
      <w:rFonts w:hint="default" w:ascii="宋体" w:hAnsi="宋体" w:eastAsia="宋体" w:cs="宋体"/>
      <w:color w:val="000000"/>
      <w:sz w:val="22"/>
      <w:szCs w:val="22"/>
    </w:rPr>
  </w:style>
  <w:style w:type="character" w:customStyle="1" w:styleId="72">
    <w:name w:val="font31"/>
    <w:basedOn w:val="30"/>
    <w:unhideWhenUsed/>
    <w:qFormat/>
    <w:uiPriority w:val="0"/>
    <w:rPr>
      <w:rFonts w:hint="default" w:ascii="Wingdings 2" w:hAnsi="Wingdings 2" w:eastAsia="Wingdings 2" w:cs="Wingdings 2"/>
      <w:color w:val="000000"/>
      <w:sz w:val="22"/>
      <w:szCs w:val="22"/>
    </w:rPr>
  </w:style>
  <w:style w:type="paragraph" w:customStyle="1" w:styleId="73">
    <w:name w:val="xl38"/>
    <w:basedOn w:val="1"/>
    <w:qFormat/>
    <w:uiPriority w:val="0"/>
    <w:pPr>
      <w:pBdr>
        <w:left w:val="single" w:color="auto" w:sz="4" w:space="0"/>
        <w:bottom w:val="single" w:color="auto" w:sz="4" w:space="0"/>
      </w:pBdr>
      <w:spacing w:before="100" w:beforeAutospacing="1"/>
      <w:jc w:val="center"/>
      <w:textAlignment w:val="center"/>
    </w:pPr>
    <w:rPr>
      <w:rFonts w:hint="eastAsia" w:ascii="宋体" w:hAnsi="宋体" w:cs="Arial Unicode MS"/>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image" Target="media/image2.wmf"/><Relationship Id="rId14" Type="http://schemas.openxmlformats.org/officeDocument/2006/relationships/oleObject" Target="embeddings/oleObject1.bin"/><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62</Pages>
  <Words>34199</Words>
  <Characters>36007</Characters>
  <Lines>1</Lines>
  <Paragraphs>1</Paragraphs>
  <TotalTime>14</TotalTime>
  <ScaleCrop>false</ScaleCrop>
  <LinksUpToDate>false</LinksUpToDate>
  <CharactersWithSpaces>36947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2019-12-18T09:50:00Z</dcterms:created>
  <dc:creator>NTKO</dc:creator>
  <cp:lastModifiedBy>0.0</cp:lastModifiedBy>
  <cp:lastPrinted>2020-11-22T02:10:00Z</cp:lastPrinted>
  <dcterms:modified xsi:type="dcterms:W3CDTF">2023-09-07T07:10:30Z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889BFFB1741A425BB693A9197FC90FB8_13</vt:lpwstr>
  </property>
  <property fmtid="{D5CDD505-2E9C-101B-9397-08002B2CF9AE}" pid="4" name="commondata">
    <vt:lpwstr>eyJoZGlkIjoiMjU4YWNkNThjODI0Mjk5MTYxMWVlNmRkNTAxMWYwOTcifQ==</vt:lpwstr>
  </property>
</Properties>
</file>