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rPr>
      </w:pPr>
    </w:p>
    <w:p>
      <w:pPr>
        <w:pStyle w:val="24"/>
        <w:spacing w:before="0"/>
        <w:ind w:left="1" w:right="-57" w:firstLine="0"/>
        <w:jc w:val="center"/>
        <w:rPr>
          <w:rFonts w:ascii="宋体" w:hAnsi="宋体"/>
          <w:b/>
          <w:color w:val="auto"/>
          <w:spacing w:val="-4"/>
          <w:sz w:val="44"/>
          <w:szCs w:val="44"/>
          <w:highlight w:val="none"/>
          <w:u w:val="single"/>
        </w:rPr>
      </w:pPr>
      <w:r>
        <w:rPr>
          <w:rFonts w:hint="eastAsia" w:ascii="宋体" w:hAnsi="宋体"/>
          <w:b/>
          <w:color w:val="auto"/>
          <w:spacing w:val="-4"/>
          <w:sz w:val="44"/>
          <w:szCs w:val="44"/>
          <w:highlight w:val="none"/>
          <w:u w:val="single"/>
        </w:rPr>
        <w:t>南宁轨道交通运营有限公司</w:t>
      </w:r>
    </w:p>
    <w:p>
      <w:pPr>
        <w:pStyle w:val="24"/>
        <w:spacing w:before="0"/>
        <w:ind w:left="1" w:right="-57" w:firstLine="0"/>
        <w:jc w:val="center"/>
        <w:rPr>
          <w:rFonts w:ascii="宋体" w:hAnsi="宋体"/>
          <w:b/>
          <w:color w:val="auto"/>
          <w:spacing w:val="-4"/>
          <w:sz w:val="44"/>
          <w:szCs w:val="44"/>
          <w:highlight w:val="none"/>
        </w:rPr>
      </w:pPr>
      <w:r>
        <w:rPr>
          <w:rFonts w:hint="eastAsia" w:ascii="宋体" w:hAnsi="宋体"/>
          <w:b/>
          <w:color w:val="auto"/>
          <w:spacing w:val="-4"/>
          <w:sz w:val="44"/>
          <w:szCs w:val="44"/>
          <w:highlight w:val="none"/>
          <w:u w:val="single"/>
        </w:rPr>
        <w:t>2023年办公家具采购项目</w:t>
      </w:r>
    </w:p>
    <w:p>
      <w:pPr>
        <w:spacing w:before="0"/>
        <w:ind w:left="0" w:right="-57" w:firstLine="0"/>
        <w:jc w:val="center"/>
        <w:rPr>
          <w:rFonts w:ascii="宋体" w:hAnsi="宋体"/>
          <w:b/>
          <w:color w:val="auto"/>
          <w:sz w:val="72"/>
          <w:szCs w:val="7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0"/>
        <w:ind w:left="0" w:right="-57" w:firstLine="0"/>
        <w:jc w:val="center"/>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lang w:eastAsia="zh-CN"/>
        </w:rPr>
        <w:t>（</w:t>
      </w:r>
      <w:r>
        <w:rPr>
          <w:rFonts w:hint="eastAsia" w:ascii="宋体" w:hAnsi="宋体"/>
          <w:b/>
          <w:color w:val="auto"/>
          <w:sz w:val="32"/>
          <w:szCs w:val="32"/>
          <w:highlight w:val="none"/>
          <w:lang w:val="en-US" w:eastAsia="zh-CN"/>
        </w:rPr>
        <w:t>第二次</w:t>
      </w:r>
      <w:r>
        <w:rPr>
          <w:rFonts w:hint="eastAsia" w:ascii="宋体" w:hAnsi="宋体"/>
          <w:b/>
          <w:color w:val="auto"/>
          <w:sz w:val="32"/>
          <w:szCs w:val="32"/>
          <w:highlight w:val="none"/>
          <w:lang w:eastAsia="zh-CN"/>
        </w:rPr>
        <w:t>）</w:t>
      </w:r>
    </w:p>
    <w:p>
      <w:pPr>
        <w:spacing w:before="720"/>
        <w:ind w:left="1801" w:right="-57" w:hanging="180"/>
        <w:rPr>
          <w:rFonts w:ascii="宋体" w:hAnsi="宋体"/>
          <w:b/>
          <w:color w:val="auto"/>
          <w:sz w:val="32"/>
          <w:szCs w:val="32"/>
          <w:highlight w:val="none"/>
        </w:rPr>
      </w:pP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rPr>
          <w:rFonts w:ascii="宋体" w:hAnsi="宋体"/>
          <w:b/>
          <w:color w:val="auto"/>
          <w:sz w:val="32"/>
          <w:szCs w:val="32"/>
          <w:highlight w:val="none"/>
          <w:u w:val="single"/>
        </w:rPr>
      </w:pPr>
      <w:r>
        <w:rPr>
          <w:rFonts w:hint="eastAsia" w:ascii="宋体" w:hAnsi="宋体"/>
          <w:b/>
          <w:color w:val="auto"/>
          <w:sz w:val="32"/>
          <w:szCs w:val="32"/>
          <w:highlight w:val="none"/>
        </w:rPr>
        <w:t>项目编号：202305170008</w:t>
      </w:r>
    </w:p>
    <w:p>
      <w:pPr>
        <w:spacing w:before="0"/>
        <w:ind w:left="1801" w:right="-57" w:hanging="180"/>
        <w:rPr>
          <w:rFonts w:ascii="宋体" w:hAnsi="宋体"/>
          <w:color w:val="auto"/>
          <w:sz w:val="30"/>
          <w:szCs w:val="30"/>
          <w:highlight w:val="none"/>
        </w:rPr>
      </w:pPr>
      <w:r>
        <w:rPr>
          <w:rFonts w:ascii="宋体" w:hAnsi="宋体"/>
          <w:b/>
          <w:color w:val="auto"/>
          <w:sz w:val="32"/>
          <w:szCs w:val="32"/>
          <w:highlight w:val="none"/>
        </w:rPr>
        <w:t>比选人：</w:t>
      </w:r>
      <w:r>
        <w:rPr>
          <w:rFonts w:hint="eastAsia" w:ascii="宋体" w:hAnsi="宋体"/>
          <w:b/>
          <w:color w:val="auto"/>
          <w:sz w:val="32"/>
          <w:szCs w:val="32"/>
          <w:highlight w:val="none"/>
        </w:rPr>
        <w:t>南宁轨道交通运营有限公司</w:t>
      </w:r>
    </w:p>
    <w:p>
      <w:pPr>
        <w:spacing w:before="0"/>
        <w:ind w:right="-57" w:firstLine="0"/>
        <w:jc w:val="center"/>
        <w:rPr>
          <w:rFonts w:ascii="宋体" w:hAnsi="宋体"/>
          <w:b/>
          <w:color w:val="auto"/>
          <w:sz w:val="36"/>
          <w:szCs w:val="36"/>
          <w:highlight w:val="none"/>
        </w:rPr>
      </w:pPr>
      <w:r>
        <w:rPr>
          <w:rFonts w:ascii="宋体" w:hAnsi="宋体"/>
          <w:b/>
          <w:color w:val="auto"/>
          <w:sz w:val="36"/>
          <w:szCs w:val="36"/>
          <w:highlight w:val="none"/>
        </w:rPr>
        <w:t>年</w:t>
      </w:r>
      <w:r>
        <w:rPr>
          <w:rFonts w:hint="eastAsia" w:ascii="宋体" w:hAnsi="宋体"/>
          <w:b/>
          <w:color w:val="auto"/>
          <w:sz w:val="36"/>
          <w:szCs w:val="36"/>
          <w:highlight w:val="none"/>
        </w:rPr>
        <w:t xml:space="preserve">  </w:t>
      </w:r>
      <w:r>
        <w:rPr>
          <w:rFonts w:ascii="宋体" w:hAnsi="宋体"/>
          <w:b/>
          <w:color w:val="auto"/>
          <w:sz w:val="36"/>
          <w:szCs w:val="36"/>
          <w:highlight w:val="none"/>
        </w:rPr>
        <w:t>月</w:t>
      </w:r>
    </w:p>
    <w:p>
      <w:pPr>
        <w:spacing w:before="0"/>
        <w:ind w:left="0" w:leftChars="0" w:right="-57" w:firstLine="0" w:firstLineChars="0"/>
        <w:jc w:val="both"/>
        <w:rPr>
          <w:rFonts w:ascii="宋体" w:hAnsi="宋体"/>
          <w:b/>
          <w:color w:val="auto"/>
          <w:sz w:val="36"/>
          <w:szCs w:val="36"/>
          <w:highlight w:val="none"/>
        </w:rPr>
      </w:pPr>
    </w:p>
    <w:p>
      <w:pPr>
        <w:spacing w:before="0"/>
        <w:ind w:left="0" w:right="-57" w:firstLine="0"/>
        <w:rPr>
          <w:rFonts w:ascii="宋体" w:hAnsi="宋体" w:cs="宋体"/>
          <w:b/>
          <w:color w:val="auto"/>
          <w:sz w:val="36"/>
          <w:szCs w:val="36"/>
          <w:highlight w:val="none"/>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
      </w:sdtEndPr>
      <w:sdtContent>
        <w:p>
          <w:pPr>
            <w:pStyle w:val="46"/>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17"/>
            <w:tabs>
              <w:tab w:val="right" w:leader="dot" w:pos="9059"/>
            </w:tabs>
            <w:rPr>
              <w:rFonts w:asciiTheme="minorHAnsi" w:hAnsiTheme="minorHAnsi" w:eastAsiaTheme="minorEastAsia" w:cstheme="minorBidi"/>
              <w:color w:val="auto"/>
              <w:kern w:val="2"/>
              <w:szCs w:val="22"/>
              <w:highlight w:val="none"/>
            </w:rPr>
          </w:pPr>
          <w:r>
            <w:rPr>
              <w:rFonts w:ascii="宋体" w:hAnsi="宋体"/>
              <w:color w:val="auto"/>
              <w:highlight w:val="none"/>
            </w:rPr>
            <w:fldChar w:fldCharType="begin"/>
          </w:r>
          <w:r>
            <w:rPr>
              <w:rFonts w:ascii="宋体" w:hAnsi="宋体"/>
              <w:color w:val="auto"/>
              <w:highlight w:val="none"/>
            </w:rPr>
            <w:instrText xml:space="preserve"> TOC \o "1-2" \h \z \u </w:instrText>
          </w:r>
          <w:r>
            <w:rPr>
              <w:rFonts w:ascii="宋体" w:hAnsi="宋体"/>
              <w:color w:val="auto"/>
              <w:highlight w:val="none"/>
            </w:rPr>
            <w:fldChar w:fldCharType="separate"/>
          </w:r>
          <w:r>
            <w:rPr>
              <w:color w:val="auto"/>
              <w:highlight w:val="none"/>
            </w:rPr>
            <w:fldChar w:fldCharType="begin"/>
          </w:r>
          <w:r>
            <w:rPr>
              <w:color w:val="auto"/>
              <w:highlight w:val="none"/>
            </w:rPr>
            <w:instrText xml:space="preserve"> HYPERLINK \l "_Toc101965673" </w:instrText>
          </w:r>
          <w:r>
            <w:rPr>
              <w:color w:val="auto"/>
              <w:highlight w:val="none"/>
            </w:rPr>
            <w:fldChar w:fldCharType="separate"/>
          </w:r>
          <w:r>
            <w:rPr>
              <w:rStyle w:val="31"/>
              <w:rFonts w:hint="eastAsia" w:hAnsi="宋体"/>
              <w:b/>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_Toc101965673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7"/>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"_Toc101965674" </w:instrText>
          </w:r>
          <w:r>
            <w:rPr>
              <w:color w:val="auto"/>
              <w:highlight w:val="none"/>
            </w:rPr>
            <w:fldChar w:fldCharType="separate"/>
          </w:r>
          <w:r>
            <w:rPr>
              <w:rStyle w:val="31"/>
              <w:rFonts w:hint="eastAsia" w:hAnsi="宋体"/>
              <w:b/>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_Toc101965674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"_Toc101965675" </w:instrText>
          </w:r>
          <w:r>
            <w:rPr>
              <w:color w:val="auto"/>
              <w:highlight w:val="none"/>
            </w:rPr>
            <w:fldChar w:fldCharType="separate"/>
          </w:r>
          <w:r>
            <w:rPr>
              <w:rStyle w:val="31"/>
              <w:rFonts w:hint="eastAsia" w:ascii="宋体" w:hAnsi="宋体"/>
              <w:color w:val="auto"/>
              <w:highlight w:val="none"/>
            </w:rPr>
            <w:t>一、项目概况</w:t>
          </w:r>
          <w:r>
            <w:rPr>
              <w:color w:val="auto"/>
              <w:highlight w:val="none"/>
            </w:rPr>
            <w:tab/>
          </w:r>
          <w:r>
            <w:rPr>
              <w:color w:val="auto"/>
              <w:highlight w:val="none"/>
            </w:rPr>
            <w:fldChar w:fldCharType="begin"/>
          </w:r>
          <w:r>
            <w:rPr>
              <w:color w:val="auto"/>
              <w:highlight w:val="none"/>
            </w:rPr>
            <w:instrText xml:space="preserve"> PAGEREF _Toc101965675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"_Toc101965676" </w:instrText>
          </w:r>
          <w:r>
            <w:rPr>
              <w:color w:val="auto"/>
              <w:highlight w:val="none"/>
            </w:rPr>
            <w:fldChar w:fldCharType="separate"/>
          </w:r>
          <w:r>
            <w:rPr>
              <w:rStyle w:val="31"/>
              <w:rFonts w:hint="eastAsia" w:ascii="宋体" w:hAnsi="宋体"/>
              <w:color w:val="auto"/>
              <w:highlight w:val="none"/>
            </w:rPr>
            <w:t>二、比选人资格要求</w:t>
          </w:r>
          <w:r>
            <w:rPr>
              <w:color w:val="auto"/>
              <w:highlight w:val="none"/>
            </w:rPr>
            <w:tab/>
          </w:r>
          <w:r>
            <w:rPr>
              <w:color w:val="auto"/>
              <w:highlight w:val="none"/>
            </w:rPr>
            <w:fldChar w:fldCharType="begin"/>
          </w:r>
          <w:r>
            <w:rPr>
              <w:color w:val="auto"/>
              <w:highlight w:val="none"/>
            </w:rPr>
            <w:instrText xml:space="preserve"> PAGEREF _Toc101965676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"_Toc101965677" </w:instrText>
          </w:r>
          <w:r>
            <w:rPr>
              <w:color w:val="auto"/>
              <w:highlight w:val="none"/>
            </w:rPr>
            <w:fldChar w:fldCharType="separate"/>
          </w:r>
          <w:r>
            <w:rPr>
              <w:rStyle w:val="31"/>
              <w:rFonts w:hint="eastAsia" w:ascii="宋体" w:hAnsi="宋体"/>
              <w:color w:val="auto"/>
              <w:highlight w:val="none"/>
            </w:rPr>
            <w:t>三、比选申请文件内容</w:t>
          </w:r>
          <w:r>
            <w:rPr>
              <w:color w:val="auto"/>
              <w:highlight w:val="none"/>
            </w:rPr>
            <w:tab/>
          </w:r>
          <w:r>
            <w:rPr>
              <w:color w:val="auto"/>
              <w:highlight w:val="none"/>
            </w:rPr>
            <w:fldChar w:fldCharType="begin"/>
          </w:r>
          <w:r>
            <w:rPr>
              <w:color w:val="auto"/>
              <w:highlight w:val="none"/>
            </w:rPr>
            <w:instrText xml:space="preserve"> PAGEREF _Toc101965677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"_Toc101965678" </w:instrText>
          </w:r>
          <w:r>
            <w:rPr>
              <w:color w:val="auto"/>
              <w:highlight w:val="none"/>
            </w:rPr>
            <w:fldChar w:fldCharType="separate"/>
          </w:r>
          <w:r>
            <w:rPr>
              <w:rStyle w:val="31"/>
              <w:rFonts w:hint="eastAsia" w:ascii="宋体" w:hAnsi="宋体"/>
              <w:color w:val="auto"/>
              <w:highlight w:val="none"/>
            </w:rPr>
            <w:t>四、比选申请文件签字及装订要求</w:t>
          </w:r>
          <w:r>
            <w:rPr>
              <w:color w:val="auto"/>
              <w:highlight w:val="none"/>
            </w:rPr>
            <w:tab/>
          </w:r>
          <w:r>
            <w:rPr>
              <w:color w:val="auto"/>
              <w:highlight w:val="none"/>
            </w:rPr>
            <w:fldChar w:fldCharType="begin"/>
          </w:r>
          <w:r>
            <w:rPr>
              <w:color w:val="auto"/>
              <w:highlight w:val="none"/>
            </w:rPr>
            <w:instrText xml:space="preserve"> PAGEREF _Toc101965678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"_Toc101965679" </w:instrText>
          </w:r>
          <w:r>
            <w:rPr>
              <w:color w:val="auto"/>
              <w:highlight w:val="none"/>
            </w:rPr>
            <w:fldChar w:fldCharType="separate"/>
          </w:r>
          <w:r>
            <w:rPr>
              <w:rStyle w:val="31"/>
              <w:rFonts w:hint="eastAsia" w:ascii="宋体" w:hAnsi="宋体"/>
              <w:color w:val="auto"/>
              <w:highlight w:val="none"/>
            </w:rPr>
            <w:t>五、比选申请文件的递交</w:t>
          </w:r>
          <w:r>
            <w:rPr>
              <w:color w:val="auto"/>
              <w:highlight w:val="none"/>
            </w:rPr>
            <w:tab/>
          </w:r>
          <w:r>
            <w:rPr>
              <w:color w:val="auto"/>
              <w:highlight w:val="none"/>
            </w:rPr>
            <w:fldChar w:fldCharType="begin"/>
          </w:r>
          <w:r>
            <w:rPr>
              <w:color w:val="auto"/>
              <w:highlight w:val="none"/>
            </w:rPr>
            <w:instrText xml:space="preserve"> PAGEREF _Toc101965679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"_Toc101965680" </w:instrText>
          </w:r>
          <w:r>
            <w:rPr>
              <w:color w:val="auto"/>
              <w:highlight w:val="none"/>
            </w:rPr>
            <w:fldChar w:fldCharType="separate"/>
          </w:r>
          <w:r>
            <w:rPr>
              <w:rStyle w:val="31"/>
              <w:rFonts w:hint="eastAsia" w:ascii="宋体" w:hAnsi="宋体"/>
              <w:color w:val="auto"/>
              <w:highlight w:val="none"/>
            </w:rPr>
            <w:t>六、比选申请人提出问题的截止时间</w:t>
          </w:r>
          <w:r>
            <w:rPr>
              <w:color w:val="auto"/>
              <w:highlight w:val="none"/>
            </w:rPr>
            <w:tab/>
          </w:r>
          <w:r>
            <w:rPr>
              <w:color w:val="auto"/>
              <w:highlight w:val="none"/>
            </w:rPr>
            <w:fldChar w:fldCharType="begin"/>
          </w:r>
          <w:r>
            <w:rPr>
              <w:color w:val="auto"/>
              <w:highlight w:val="none"/>
            </w:rPr>
            <w:instrText xml:space="preserve"> PAGEREF _Toc101965680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"_Toc101965681" </w:instrText>
          </w:r>
          <w:r>
            <w:rPr>
              <w:color w:val="auto"/>
              <w:highlight w:val="none"/>
            </w:rPr>
            <w:fldChar w:fldCharType="separate"/>
          </w:r>
          <w:r>
            <w:rPr>
              <w:rStyle w:val="31"/>
              <w:rFonts w:hint="eastAsia" w:ascii="宋体" w:hAnsi="宋体"/>
              <w:color w:val="auto"/>
              <w:highlight w:val="none"/>
            </w:rPr>
            <w:t>七、报价要求</w:t>
          </w:r>
          <w:r>
            <w:rPr>
              <w:color w:val="auto"/>
              <w:highlight w:val="none"/>
            </w:rPr>
            <w:tab/>
          </w:r>
          <w:r>
            <w:rPr>
              <w:color w:val="auto"/>
              <w:highlight w:val="none"/>
            </w:rPr>
            <w:fldChar w:fldCharType="begin"/>
          </w:r>
          <w:r>
            <w:rPr>
              <w:color w:val="auto"/>
              <w:highlight w:val="none"/>
            </w:rPr>
            <w:instrText xml:space="preserve"> PAGEREF _Toc101965681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"_Toc101965682" </w:instrText>
          </w:r>
          <w:r>
            <w:rPr>
              <w:color w:val="auto"/>
              <w:highlight w:val="none"/>
            </w:rPr>
            <w:fldChar w:fldCharType="separate"/>
          </w:r>
          <w:r>
            <w:rPr>
              <w:rStyle w:val="31"/>
              <w:rFonts w:hint="eastAsia" w:ascii="宋体" w:hAnsi="宋体"/>
              <w:color w:val="auto"/>
              <w:highlight w:val="none"/>
            </w:rPr>
            <w:t>八、评审规则</w:t>
          </w:r>
          <w:r>
            <w:rPr>
              <w:color w:val="auto"/>
              <w:highlight w:val="none"/>
            </w:rPr>
            <w:tab/>
          </w:r>
          <w:r>
            <w:rPr>
              <w:color w:val="auto"/>
              <w:highlight w:val="none"/>
            </w:rPr>
            <w:fldChar w:fldCharType="begin"/>
          </w:r>
          <w:r>
            <w:rPr>
              <w:color w:val="auto"/>
              <w:highlight w:val="none"/>
            </w:rPr>
            <w:instrText xml:space="preserve"> PAGEREF _Toc101965682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"_Toc101965683" </w:instrText>
          </w:r>
          <w:r>
            <w:rPr>
              <w:color w:val="auto"/>
              <w:highlight w:val="none"/>
            </w:rPr>
            <w:fldChar w:fldCharType="separate"/>
          </w:r>
          <w:r>
            <w:rPr>
              <w:rStyle w:val="31"/>
              <w:rFonts w:hint="eastAsia" w:ascii="宋体" w:hAnsi="宋体"/>
              <w:color w:val="auto"/>
              <w:highlight w:val="none"/>
            </w:rPr>
            <w:t>九、重新比选或不再比选</w:t>
          </w:r>
          <w:r>
            <w:rPr>
              <w:color w:val="auto"/>
              <w:highlight w:val="none"/>
            </w:rPr>
            <w:tab/>
          </w:r>
          <w:r>
            <w:rPr>
              <w:color w:val="auto"/>
              <w:highlight w:val="none"/>
            </w:rPr>
            <w:fldChar w:fldCharType="begin"/>
          </w:r>
          <w:r>
            <w:rPr>
              <w:color w:val="auto"/>
              <w:highlight w:val="none"/>
            </w:rPr>
            <w:instrText xml:space="preserve"> PAGEREF _Toc101965683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"_Toc101965684" </w:instrText>
          </w:r>
          <w:r>
            <w:rPr>
              <w:color w:val="auto"/>
              <w:highlight w:val="none"/>
            </w:rPr>
            <w:fldChar w:fldCharType="separate"/>
          </w:r>
          <w:r>
            <w:rPr>
              <w:rStyle w:val="31"/>
              <w:rFonts w:hint="eastAsia" w:ascii="宋体" w:hAnsi="宋体"/>
              <w:color w:val="auto"/>
              <w:highlight w:val="none"/>
            </w:rPr>
            <w:t>九、比选申请有效期</w:t>
          </w:r>
          <w:r>
            <w:rPr>
              <w:color w:val="auto"/>
              <w:highlight w:val="none"/>
            </w:rPr>
            <w:tab/>
          </w:r>
          <w:r>
            <w:rPr>
              <w:color w:val="auto"/>
              <w:highlight w:val="none"/>
            </w:rPr>
            <w:fldChar w:fldCharType="begin"/>
          </w:r>
          <w:r>
            <w:rPr>
              <w:color w:val="auto"/>
              <w:highlight w:val="none"/>
            </w:rPr>
            <w:instrText xml:space="preserve"> PAGEREF _Toc101965684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"_Toc101965685" </w:instrText>
          </w:r>
          <w:r>
            <w:rPr>
              <w:color w:val="auto"/>
              <w:highlight w:val="none"/>
            </w:rPr>
            <w:fldChar w:fldCharType="separate"/>
          </w:r>
          <w:r>
            <w:rPr>
              <w:rStyle w:val="31"/>
              <w:rFonts w:hint="eastAsia" w:ascii="宋体" w:hAnsi="宋体"/>
              <w:color w:val="auto"/>
              <w:highlight w:val="none"/>
            </w:rPr>
            <w:t>十、比选保证金</w:t>
          </w:r>
          <w:r>
            <w:rPr>
              <w:color w:val="auto"/>
              <w:highlight w:val="none"/>
            </w:rPr>
            <w:tab/>
          </w:r>
          <w:r>
            <w:rPr>
              <w:color w:val="auto"/>
              <w:highlight w:val="none"/>
            </w:rPr>
            <w:fldChar w:fldCharType="begin"/>
          </w:r>
          <w:r>
            <w:rPr>
              <w:color w:val="auto"/>
              <w:highlight w:val="none"/>
            </w:rPr>
            <w:instrText xml:space="preserve"> PAGEREF _Toc101965685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"_Toc101965686" </w:instrText>
          </w:r>
          <w:r>
            <w:rPr>
              <w:color w:val="auto"/>
              <w:highlight w:val="none"/>
            </w:rPr>
            <w:fldChar w:fldCharType="separate"/>
          </w:r>
          <w:r>
            <w:rPr>
              <w:rStyle w:val="31"/>
              <w:rFonts w:hint="eastAsia" w:ascii="宋体" w:hAnsi="宋体"/>
              <w:color w:val="auto"/>
              <w:highlight w:val="none"/>
            </w:rPr>
            <w:t>十一、履约担保</w:t>
          </w:r>
          <w:r>
            <w:rPr>
              <w:color w:val="auto"/>
              <w:highlight w:val="none"/>
            </w:rPr>
            <w:tab/>
          </w:r>
          <w:r>
            <w:rPr>
              <w:color w:val="auto"/>
              <w:highlight w:val="none"/>
            </w:rPr>
            <w:fldChar w:fldCharType="begin"/>
          </w:r>
          <w:r>
            <w:rPr>
              <w:color w:val="auto"/>
              <w:highlight w:val="none"/>
            </w:rPr>
            <w:instrText xml:space="preserve"> PAGEREF _Toc101965686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"_Toc101965687" </w:instrText>
          </w:r>
          <w:r>
            <w:rPr>
              <w:color w:val="auto"/>
              <w:highlight w:val="none"/>
            </w:rPr>
            <w:fldChar w:fldCharType="separate"/>
          </w:r>
          <w:r>
            <w:rPr>
              <w:rStyle w:val="31"/>
              <w:rFonts w:hint="eastAsia" w:ascii="宋体" w:hAnsi="宋体"/>
              <w:color w:val="auto"/>
              <w:highlight w:val="none"/>
            </w:rPr>
            <w:t>十二、不良信用名单条款</w:t>
          </w:r>
          <w:r>
            <w:rPr>
              <w:color w:val="auto"/>
              <w:highlight w:val="none"/>
            </w:rPr>
            <w:tab/>
          </w:r>
          <w:r>
            <w:rPr>
              <w:color w:val="auto"/>
              <w:highlight w:val="none"/>
            </w:rPr>
            <w:fldChar w:fldCharType="begin"/>
          </w:r>
          <w:r>
            <w:rPr>
              <w:color w:val="auto"/>
              <w:highlight w:val="none"/>
            </w:rPr>
            <w:instrText xml:space="preserve"> PAGEREF _Toc101965687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7"/>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"_Toc101965688" </w:instrText>
          </w:r>
          <w:r>
            <w:rPr>
              <w:color w:val="auto"/>
              <w:highlight w:val="none"/>
            </w:rPr>
            <w:fldChar w:fldCharType="separate"/>
          </w:r>
          <w:r>
            <w:rPr>
              <w:rStyle w:val="31"/>
              <w:rFonts w:hint="eastAsia" w:ascii="Arial" w:hAnsi="宋体" w:eastAsia="黑体"/>
              <w:b/>
              <w:color w:val="auto"/>
              <w:highlight w:val="none"/>
            </w:rPr>
            <w:t>第三章</w:t>
          </w:r>
          <w:r>
            <w:rPr>
              <w:rStyle w:val="31"/>
              <w:rFonts w:ascii="Arial" w:hAnsi="宋体" w:eastAsia="黑体"/>
              <w:b/>
              <w:color w:val="auto"/>
              <w:highlight w:val="none"/>
            </w:rPr>
            <w:t xml:space="preserve"> </w:t>
          </w:r>
          <w:r>
            <w:rPr>
              <w:rStyle w:val="31"/>
              <w:rFonts w:hint="eastAsia" w:ascii="Arial" w:hAnsi="宋体" w:eastAsia="黑体"/>
              <w:b/>
              <w:color w:val="auto"/>
              <w:highlight w:val="none"/>
            </w:rPr>
            <w:t>合同条款及格式</w:t>
          </w:r>
          <w:r>
            <w:rPr>
              <w:color w:val="auto"/>
              <w:highlight w:val="none"/>
            </w:rPr>
            <w:tab/>
          </w:r>
          <w:r>
            <w:rPr>
              <w:color w:val="auto"/>
              <w:highlight w:val="none"/>
            </w:rPr>
            <w:fldChar w:fldCharType="begin"/>
          </w:r>
          <w:r>
            <w:rPr>
              <w:color w:val="auto"/>
              <w:highlight w:val="none"/>
            </w:rPr>
            <w:instrText xml:space="preserve"> PAGEREF _Toc101965688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"_Toc101965689" </w:instrText>
          </w:r>
          <w:r>
            <w:rPr>
              <w:color w:val="auto"/>
              <w:highlight w:val="none"/>
            </w:rPr>
            <w:fldChar w:fldCharType="separate"/>
          </w:r>
          <w:r>
            <w:rPr>
              <w:rStyle w:val="31"/>
              <w:rFonts w:hint="eastAsia" w:ascii="宋体" w:hAnsi="宋体"/>
              <w:color w:val="auto"/>
              <w:highlight w:val="none"/>
            </w:rPr>
            <w:t>第一部分</w:t>
          </w:r>
          <w:r>
            <w:rPr>
              <w:rStyle w:val="31"/>
              <w:rFonts w:ascii="宋体" w:hAnsi="宋体"/>
              <w:color w:val="auto"/>
              <w:highlight w:val="none"/>
            </w:rPr>
            <w:t xml:space="preserve"> </w:t>
          </w:r>
          <w:r>
            <w:rPr>
              <w:rStyle w:val="31"/>
              <w:rFonts w:hint="eastAsia" w:ascii="宋体" w:hAnsi="宋体"/>
              <w:color w:val="auto"/>
              <w:highlight w:val="none"/>
            </w:rPr>
            <w:t>合同协议书</w:t>
          </w:r>
          <w:r>
            <w:rPr>
              <w:color w:val="auto"/>
              <w:highlight w:val="none"/>
            </w:rPr>
            <w:tab/>
          </w:r>
          <w:r>
            <w:rPr>
              <w:color w:val="auto"/>
              <w:highlight w:val="none"/>
            </w:rPr>
            <w:fldChar w:fldCharType="begin"/>
          </w:r>
          <w:r>
            <w:rPr>
              <w:color w:val="auto"/>
              <w:highlight w:val="none"/>
            </w:rPr>
            <w:instrText xml:space="preserve"> PAGEREF _Toc101965689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"_Toc101965690" </w:instrText>
          </w:r>
          <w:r>
            <w:rPr>
              <w:color w:val="auto"/>
              <w:highlight w:val="none"/>
            </w:rPr>
            <w:fldChar w:fldCharType="separate"/>
          </w:r>
          <w:r>
            <w:rPr>
              <w:rStyle w:val="31"/>
              <w:rFonts w:hint="eastAsia"/>
              <w:color w:val="auto"/>
              <w:highlight w:val="none"/>
            </w:rPr>
            <w:t>第二部分</w:t>
          </w:r>
          <w:r>
            <w:rPr>
              <w:rStyle w:val="31"/>
              <w:color w:val="auto"/>
              <w:highlight w:val="none"/>
            </w:rPr>
            <w:t xml:space="preserve"> </w:t>
          </w:r>
          <w:r>
            <w:rPr>
              <w:rStyle w:val="31"/>
              <w:rFonts w:hint="eastAsia"/>
              <w:color w:val="auto"/>
              <w:highlight w:val="none"/>
            </w:rPr>
            <w:t>中选通知书</w:t>
          </w:r>
          <w:r>
            <w:rPr>
              <w:color w:val="auto"/>
              <w:highlight w:val="none"/>
            </w:rPr>
            <w:tab/>
          </w:r>
          <w:r>
            <w:rPr>
              <w:color w:val="auto"/>
              <w:highlight w:val="none"/>
            </w:rPr>
            <w:fldChar w:fldCharType="begin"/>
          </w:r>
          <w:r>
            <w:rPr>
              <w:color w:val="auto"/>
              <w:highlight w:val="none"/>
            </w:rPr>
            <w:instrText xml:space="preserve"> PAGEREF _Toc101965690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"_Toc101965691" </w:instrText>
          </w:r>
          <w:r>
            <w:rPr>
              <w:color w:val="auto"/>
              <w:highlight w:val="none"/>
            </w:rPr>
            <w:fldChar w:fldCharType="separate"/>
          </w:r>
          <w:r>
            <w:rPr>
              <w:rStyle w:val="31"/>
              <w:rFonts w:hint="eastAsia"/>
              <w:color w:val="auto"/>
              <w:highlight w:val="none"/>
            </w:rPr>
            <w:t>第三部分</w:t>
          </w:r>
          <w:r>
            <w:rPr>
              <w:rStyle w:val="31"/>
              <w:color w:val="auto"/>
              <w:highlight w:val="none"/>
            </w:rPr>
            <w:t xml:space="preserve"> </w:t>
          </w:r>
          <w:r>
            <w:rPr>
              <w:rStyle w:val="31"/>
              <w:rFonts w:hint="eastAsia"/>
              <w:color w:val="auto"/>
              <w:highlight w:val="none"/>
            </w:rPr>
            <w:t>价格组成文件</w:t>
          </w:r>
          <w:r>
            <w:rPr>
              <w:color w:val="auto"/>
              <w:highlight w:val="none"/>
            </w:rPr>
            <w:tab/>
          </w:r>
          <w:r>
            <w:rPr>
              <w:color w:val="auto"/>
              <w:highlight w:val="none"/>
            </w:rPr>
            <w:fldChar w:fldCharType="begin"/>
          </w:r>
          <w:r>
            <w:rPr>
              <w:color w:val="auto"/>
              <w:highlight w:val="none"/>
            </w:rPr>
            <w:instrText xml:space="preserve"> PAGEREF _Toc101965691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"_Toc101965692" </w:instrText>
          </w:r>
          <w:r>
            <w:rPr>
              <w:color w:val="auto"/>
              <w:highlight w:val="none"/>
            </w:rPr>
            <w:fldChar w:fldCharType="separate"/>
          </w:r>
          <w:r>
            <w:rPr>
              <w:rStyle w:val="31"/>
              <w:rFonts w:hint="eastAsia" w:ascii="宋体" w:hAnsi="宋体"/>
              <w:color w:val="auto"/>
              <w:highlight w:val="none"/>
            </w:rPr>
            <w:t>第四部分</w:t>
          </w:r>
          <w:r>
            <w:rPr>
              <w:rStyle w:val="31"/>
              <w:rFonts w:ascii="宋体" w:hAnsi="宋体"/>
              <w:color w:val="auto"/>
              <w:highlight w:val="none"/>
            </w:rPr>
            <w:t xml:space="preserve"> </w:t>
          </w:r>
          <w:r>
            <w:rPr>
              <w:rStyle w:val="31"/>
              <w:rFonts w:hint="eastAsia" w:ascii="宋体" w:hAnsi="宋体"/>
              <w:color w:val="auto"/>
              <w:highlight w:val="none"/>
            </w:rPr>
            <w:t>合同条款</w:t>
          </w:r>
          <w:r>
            <w:rPr>
              <w:color w:val="auto"/>
              <w:highlight w:val="none"/>
            </w:rPr>
            <w:tab/>
          </w:r>
          <w:r>
            <w:rPr>
              <w:color w:val="auto"/>
              <w:highlight w:val="none"/>
            </w:rPr>
            <w:fldChar w:fldCharType="begin"/>
          </w:r>
          <w:r>
            <w:rPr>
              <w:color w:val="auto"/>
              <w:highlight w:val="none"/>
            </w:rPr>
            <w:instrText xml:space="preserve"> PAGEREF _Toc101965692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"_Toc101965693" </w:instrText>
          </w:r>
          <w:r>
            <w:rPr>
              <w:color w:val="auto"/>
              <w:highlight w:val="none"/>
            </w:rPr>
            <w:fldChar w:fldCharType="separate"/>
          </w:r>
          <w:r>
            <w:rPr>
              <w:rStyle w:val="31"/>
              <w:rFonts w:hint="eastAsia"/>
              <w:color w:val="auto"/>
              <w:highlight w:val="none"/>
            </w:rPr>
            <w:t>第五部分</w:t>
          </w:r>
          <w:r>
            <w:rPr>
              <w:rStyle w:val="31"/>
              <w:color w:val="auto"/>
              <w:highlight w:val="none"/>
            </w:rPr>
            <w:t xml:space="preserve"> </w:t>
          </w:r>
          <w:r>
            <w:rPr>
              <w:rStyle w:val="31"/>
              <w:rFonts w:hint="eastAsia"/>
              <w:color w:val="auto"/>
              <w:highlight w:val="none"/>
            </w:rPr>
            <w:t>技术规格书</w:t>
          </w:r>
          <w:r>
            <w:rPr>
              <w:color w:val="auto"/>
              <w:highlight w:val="none"/>
            </w:rPr>
            <w:tab/>
          </w:r>
          <w:r>
            <w:rPr>
              <w:color w:val="auto"/>
              <w:highlight w:val="none"/>
            </w:rPr>
            <w:fldChar w:fldCharType="begin"/>
          </w:r>
          <w:r>
            <w:rPr>
              <w:color w:val="auto"/>
              <w:highlight w:val="none"/>
            </w:rPr>
            <w:instrText xml:space="preserve"> PAGEREF _Toc101965693 \h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"_Toc101965694" </w:instrText>
          </w:r>
          <w:r>
            <w:rPr>
              <w:color w:val="auto"/>
              <w:highlight w:val="none"/>
            </w:rPr>
            <w:fldChar w:fldCharType="separate"/>
          </w:r>
          <w:r>
            <w:rPr>
              <w:rStyle w:val="31"/>
              <w:rFonts w:hint="eastAsia" w:ascii="宋体" w:hAnsi="宋体"/>
              <w:iCs/>
              <w:color w:val="auto"/>
              <w:highlight w:val="none"/>
            </w:rPr>
            <w:t>第六部分</w:t>
          </w:r>
          <w:r>
            <w:rPr>
              <w:rStyle w:val="31"/>
              <w:rFonts w:ascii="宋体" w:hAnsi="宋体"/>
              <w:iCs/>
              <w:color w:val="auto"/>
              <w:highlight w:val="none"/>
            </w:rPr>
            <w:t xml:space="preserve"> </w:t>
          </w:r>
          <w:r>
            <w:rPr>
              <w:rStyle w:val="31"/>
              <w:rFonts w:hint="eastAsia" w:ascii="宋体" w:hAnsi="宋体"/>
              <w:iCs/>
              <w:color w:val="auto"/>
              <w:highlight w:val="none"/>
            </w:rPr>
            <w:t>合同附件</w:t>
          </w:r>
          <w:r>
            <w:rPr>
              <w:color w:val="auto"/>
              <w:highlight w:val="none"/>
            </w:rPr>
            <w:tab/>
          </w:r>
          <w:r>
            <w:rPr>
              <w:color w:val="auto"/>
              <w:highlight w:val="none"/>
            </w:rPr>
            <w:fldChar w:fldCharType="begin"/>
          </w:r>
          <w:r>
            <w:rPr>
              <w:color w:val="auto"/>
              <w:highlight w:val="none"/>
            </w:rPr>
            <w:instrText xml:space="preserve"> PAGEREF _Toc101965694 \h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"_Toc101965695" </w:instrText>
          </w:r>
          <w:r>
            <w:rPr>
              <w:color w:val="auto"/>
              <w:highlight w:val="none"/>
            </w:rPr>
            <w:fldChar w:fldCharType="separate"/>
          </w:r>
          <w:r>
            <w:rPr>
              <w:rStyle w:val="31"/>
              <w:rFonts w:hint="eastAsia"/>
              <w:color w:val="auto"/>
              <w:highlight w:val="none"/>
            </w:rPr>
            <w:t>第七部分</w:t>
          </w:r>
          <w:r>
            <w:rPr>
              <w:rStyle w:val="31"/>
              <w:color w:val="auto"/>
              <w:highlight w:val="none"/>
            </w:rPr>
            <w:t xml:space="preserve"> </w:t>
          </w:r>
          <w:r>
            <w:rPr>
              <w:rStyle w:val="31"/>
              <w:rFonts w:hint="eastAsia"/>
              <w:color w:val="auto"/>
              <w:highlight w:val="none"/>
            </w:rPr>
            <w:t>比选文件</w:t>
          </w:r>
          <w:r>
            <w:rPr>
              <w:color w:val="auto"/>
              <w:highlight w:val="none"/>
            </w:rPr>
            <w:tab/>
          </w:r>
          <w:r>
            <w:rPr>
              <w:color w:val="auto"/>
              <w:highlight w:val="none"/>
            </w:rPr>
            <w:fldChar w:fldCharType="begin"/>
          </w:r>
          <w:r>
            <w:rPr>
              <w:color w:val="auto"/>
              <w:highlight w:val="none"/>
            </w:rPr>
            <w:instrText xml:space="preserve"> PAGEREF _Toc101965695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"_Toc101965696" </w:instrText>
          </w:r>
          <w:r>
            <w:rPr>
              <w:color w:val="auto"/>
              <w:highlight w:val="none"/>
            </w:rPr>
            <w:fldChar w:fldCharType="separate"/>
          </w:r>
          <w:r>
            <w:rPr>
              <w:rStyle w:val="31"/>
              <w:rFonts w:hint="eastAsia"/>
              <w:color w:val="auto"/>
              <w:highlight w:val="none"/>
            </w:rPr>
            <w:t>第八部分</w:t>
          </w:r>
          <w:r>
            <w:rPr>
              <w:rStyle w:val="31"/>
              <w:color w:val="auto"/>
              <w:highlight w:val="none"/>
            </w:rPr>
            <w:t xml:space="preserve"> </w:t>
          </w:r>
          <w:r>
            <w:rPr>
              <w:rStyle w:val="31"/>
              <w:rFonts w:hint="eastAsia"/>
              <w:color w:val="auto"/>
              <w:highlight w:val="none"/>
            </w:rPr>
            <w:t>比选申请文件</w:t>
          </w:r>
          <w:r>
            <w:rPr>
              <w:color w:val="auto"/>
              <w:highlight w:val="none"/>
            </w:rPr>
            <w:tab/>
          </w:r>
          <w:r>
            <w:rPr>
              <w:color w:val="auto"/>
              <w:highlight w:val="none"/>
            </w:rPr>
            <w:fldChar w:fldCharType="begin"/>
          </w:r>
          <w:r>
            <w:rPr>
              <w:color w:val="auto"/>
              <w:highlight w:val="none"/>
            </w:rPr>
            <w:instrText xml:space="preserve"> PAGEREF _Toc101965696 \h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17"/>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"_Toc101965697" </w:instrText>
          </w:r>
          <w:r>
            <w:rPr>
              <w:color w:val="auto"/>
              <w:highlight w:val="none"/>
            </w:rPr>
            <w:fldChar w:fldCharType="separate"/>
          </w:r>
          <w:r>
            <w:rPr>
              <w:rStyle w:val="31"/>
              <w:rFonts w:hint="eastAsia" w:ascii="Arial" w:hAnsi="宋体" w:eastAsia="黑体"/>
              <w:b/>
              <w:color w:val="auto"/>
              <w:highlight w:val="none"/>
            </w:rPr>
            <w:t>第四章</w:t>
          </w:r>
          <w:r>
            <w:rPr>
              <w:rStyle w:val="31"/>
              <w:rFonts w:ascii="Arial" w:hAnsi="宋体" w:eastAsia="黑体"/>
              <w:b/>
              <w:color w:val="auto"/>
              <w:highlight w:val="none"/>
            </w:rPr>
            <w:t xml:space="preserve"> </w:t>
          </w:r>
          <w:r>
            <w:rPr>
              <w:rStyle w:val="31"/>
              <w:rFonts w:hint="eastAsia" w:ascii="Arial" w:hAnsi="宋体" w:eastAsia="黑体"/>
              <w:b/>
              <w:color w:val="auto"/>
              <w:highlight w:val="none"/>
            </w:rPr>
            <w:t>比选申请文件格式</w:t>
          </w:r>
          <w:r>
            <w:rPr>
              <w:color w:val="auto"/>
              <w:highlight w:val="none"/>
            </w:rPr>
            <w:tab/>
          </w:r>
          <w:r>
            <w:rPr>
              <w:color w:val="auto"/>
              <w:highlight w:val="none"/>
            </w:rPr>
            <w:fldChar w:fldCharType="begin"/>
          </w:r>
          <w:r>
            <w:rPr>
              <w:color w:val="auto"/>
              <w:highlight w:val="none"/>
            </w:rPr>
            <w:instrText xml:space="preserve"> PAGEREF _Toc101965697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"_Toc101965698" </w:instrText>
          </w:r>
          <w:r>
            <w:rPr>
              <w:color w:val="auto"/>
              <w:highlight w:val="none"/>
            </w:rPr>
            <w:fldChar w:fldCharType="separate"/>
          </w:r>
          <w:r>
            <w:rPr>
              <w:rStyle w:val="31"/>
              <w:rFonts w:hint="eastAsia"/>
              <w:color w:val="auto"/>
              <w:highlight w:val="none"/>
            </w:rPr>
            <w:t>一、比选申请函</w:t>
          </w:r>
          <w:r>
            <w:rPr>
              <w:color w:val="auto"/>
              <w:highlight w:val="none"/>
            </w:rPr>
            <w:tab/>
          </w:r>
          <w:r>
            <w:rPr>
              <w:color w:val="auto"/>
              <w:highlight w:val="none"/>
            </w:rPr>
            <w:fldChar w:fldCharType="begin"/>
          </w:r>
          <w:r>
            <w:rPr>
              <w:color w:val="auto"/>
              <w:highlight w:val="none"/>
            </w:rPr>
            <w:instrText xml:space="preserve"> PAGEREF _Toc101965698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"_Toc101965699" </w:instrText>
          </w:r>
          <w:r>
            <w:rPr>
              <w:color w:val="auto"/>
              <w:highlight w:val="none"/>
            </w:rPr>
            <w:fldChar w:fldCharType="separate"/>
          </w:r>
          <w:r>
            <w:rPr>
              <w:rStyle w:val="31"/>
              <w:rFonts w:hint="eastAsia"/>
              <w:color w:val="auto"/>
              <w:highlight w:val="none"/>
            </w:rPr>
            <w:t>二、比选承诺函</w:t>
          </w:r>
          <w:r>
            <w:rPr>
              <w:color w:val="auto"/>
              <w:highlight w:val="none"/>
            </w:rPr>
            <w:tab/>
          </w:r>
          <w:r>
            <w:rPr>
              <w:color w:val="auto"/>
              <w:highlight w:val="none"/>
            </w:rPr>
            <w:fldChar w:fldCharType="begin"/>
          </w:r>
          <w:r>
            <w:rPr>
              <w:color w:val="auto"/>
              <w:highlight w:val="none"/>
            </w:rPr>
            <w:instrText xml:space="preserve"> PAGEREF _Toc101965699 \h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"_Toc101965700" </w:instrText>
          </w:r>
          <w:r>
            <w:rPr>
              <w:color w:val="auto"/>
              <w:highlight w:val="none"/>
            </w:rPr>
            <w:fldChar w:fldCharType="separate"/>
          </w:r>
          <w:r>
            <w:rPr>
              <w:rStyle w:val="31"/>
              <w:rFonts w:hint="eastAsia"/>
              <w:color w:val="auto"/>
              <w:highlight w:val="none"/>
            </w:rPr>
            <w:t>三、比选申请报价表</w:t>
          </w:r>
          <w:r>
            <w:rPr>
              <w:color w:val="auto"/>
              <w:highlight w:val="none"/>
            </w:rPr>
            <w:tab/>
          </w:r>
          <w:r>
            <w:rPr>
              <w:color w:val="auto"/>
              <w:highlight w:val="none"/>
            </w:rPr>
            <w:fldChar w:fldCharType="begin"/>
          </w:r>
          <w:r>
            <w:rPr>
              <w:color w:val="auto"/>
              <w:highlight w:val="none"/>
            </w:rPr>
            <w:instrText xml:space="preserve"> PAGEREF _Toc101965700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"_Toc101965701" </w:instrText>
          </w:r>
          <w:r>
            <w:rPr>
              <w:color w:val="auto"/>
              <w:highlight w:val="none"/>
            </w:rPr>
            <w:fldChar w:fldCharType="separate"/>
          </w:r>
          <w:r>
            <w:rPr>
              <w:rStyle w:val="31"/>
              <w:rFonts w:hint="eastAsia"/>
              <w:color w:val="auto"/>
              <w:highlight w:val="none"/>
            </w:rPr>
            <w:t>四、法定代表人身份证明及授权书</w:t>
          </w:r>
          <w:r>
            <w:rPr>
              <w:color w:val="auto"/>
              <w:highlight w:val="none"/>
            </w:rPr>
            <w:tab/>
          </w:r>
          <w:r>
            <w:rPr>
              <w:color w:val="auto"/>
              <w:highlight w:val="none"/>
            </w:rPr>
            <w:fldChar w:fldCharType="begin"/>
          </w:r>
          <w:r>
            <w:rPr>
              <w:color w:val="auto"/>
              <w:highlight w:val="none"/>
            </w:rPr>
            <w:instrText xml:space="preserve"> PAGEREF _Toc101965701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"_Toc101965702" </w:instrText>
          </w:r>
          <w:r>
            <w:rPr>
              <w:color w:val="auto"/>
              <w:highlight w:val="none"/>
            </w:rPr>
            <w:fldChar w:fldCharType="separate"/>
          </w:r>
          <w:r>
            <w:rPr>
              <w:rStyle w:val="31"/>
              <w:rFonts w:hint="eastAsia"/>
              <w:color w:val="auto"/>
              <w:highlight w:val="none"/>
            </w:rPr>
            <w:t>五、企业证照</w:t>
          </w:r>
          <w:r>
            <w:rPr>
              <w:color w:val="auto"/>
              <w:highlight w:val="none"/>
            </w:rPr>
            <w:tab/>
          </w:r>
          <w:r>
            <w:rPr>
              <w:color w:val="auto"/>
              <w:highlight w:val="none"/>
            </w:rPr>
            <w:fldChar w:fldCharType="begin"/>
          </w:r>
          <w:r>
            <w:rPr>
              <w:color w:val="auto"/>
              <w:highlight w:val="none"/>
            </w:rPr>
            <w:instrText xml:space="preserve"> PAGEREF _Toc101965702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"_Toc101965703" </w:instrText>
          </w:r>
          <w:r>
            <w:rPr>
              <w:color w:val="auto"/>
              <w:highlight w:val="none"/>
            </w:rPr>
            <w:fldChar w:fldCharType="separate"/>
          </w:r>
          <w:r>
            <w:rPr>
              <w:rStyle w:val="31"/>
              <w:rFonts w:hint="eastAsia"/>
              <w:color w:val="auto"/>
              <w:highlight w:val="none"/>
            </w:rPr>
            <w:t>六、类似项目业绩表</w:t>
          </w:r>
          <w:r>
            <w:rPr>
              <w:color w:val="auto"/>
              <w:highlight w:val="none"/>
            </w:rPr>
            <w:tab/>
          </w:r>
          <w:r>
            <w:rPr>
              <w:color w:val="auto"/>
              <w:highlight w:val="none"/>
            </w:rPr>
            <w:fldChar w:fldCharType="begin"/>
          </w:r>
          <w:r>
            <w:rPr>
              <w:color w:val="auto"/>
              <w:highlight w:val="none"/>
            </w:rPr>
            <w:instrText xml:space="preserve"> PAGEREF _Toc101965703 \h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"_Toc101965704" </w:instrText>
          </w:r>
          <w:r>
            <w:rPr>
              <w:color w:val="auto"/>
              <w:highlight w:val="none"/>
            </w:rPr>
            <w:fldChar w:fldCharType="separate"/>
          </w:r>
          <w:r>
            <w:rPr>
              <w:rStyle w:val="31"/>
              <w:rFonts w:hint="eastAsia"/>
              <w:color w:val="auto"/>
              <w:highlight w:val="none"/>
            </w:rPr>
            <w:t>七、比选响应表</w:t>
          </w:r>
          <w:r>
            <w:rPr>
              <w:color w:val="auto"/>
              <w:highlight w:val="none"/>
            </w:rPr>
            <w:tab/>
          </w:r>
          <w:r>
            <w:rPr>
              <w:color w:val="auto"/>
              <w:highlight w:val="none"/>
            </w:rPr>
            <w:fldChar w:fldCharType="begin"/>
          </w:r>
          <w:r>
            <w:rPr>
              <w:color w:val="auto"/>
              <w:highlight w:val="none"/>
            </w:rPr>
            <w:instrText xml:space="preserve"> PAGEREF _Toc101965704 \h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22"/>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"_Toc101965705" </w:instrText>
          </w:r>
          <w:r>
            <w:rPr>
              <w:color w:val="auto"/>
              <w:highlight w:val="none"/>
            </w:rPr>
            <w:fldChar w:fldCharType="separate"/>
          </w:r>
          <w:r>
            <w:rPr>
              <w:rStyle w:val="31"/>
              <w:rFonts w:hint="eastAsia"/>
              <w:color w:val="auto"/>
              <w:highlight w:val="none"/>
            </w:rPr>
            <w:t>八、其他</w:t>
          </w:r>
          <w:r>
            <w:rPr>
              <w:color w:val="auto"/>
              <w:highlight w:val="none"/>
            </w:rPr>
            <w:tab/>
          </w:r>
          <w:r>
            <w:rPr>
              <w:color w:val="auto"/>
              <w:highlight w:val="none"/>
            </w:rPr>
            <w:fldChar w:fldCharType="begin"/>
          </w:r>
          <w:r>
            <w:rPr>
              <w:color w:val="auto"/>
              <w:highlight w:val="none"/>
            </w:rPr>
            <w:instrText xml:space="preserve"> PAGEREF _Toc101965705 \h </w:instrText>
          </w:r>
          <w:r>
            <w:rPr>
              <w:color w:val="auto"/>
              <w:highlight w:val="none"/>
            </w:rPr>
            <w:fldChar w:fldCharType="separate"/>
          </w:r>
          <w:r>
            <w:rPr>
              <w:color w:val="auto"/>
              <w:highlight w:val="none"/>
            </w:rPr>
            <w:t>60</w:t>
          </w:r>
          <w:r>
            <w:rPr>
              <w:color w:val="auto"/>
              <w:highlight w:val="none"/>
            </w:rPr>
            <w:fldChar w:fldCharType="end"/>
          </w:r>
          <w:r>
            <w:rPr>
              <w:color w:val="auto"/>
              <w:highlight w:val="none"/>
            </w:rPr>
            <w:fldChar w:fldCharType="end"/>
          </w:r>
        </w:p>
        <w:p>
          <w:pPr>
            <w:pStyle w:val="17"/>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"_Toc101965706" </w:instrText>
          </w:r>
          <w:r>
            <w:rPr>
              <w:color w:val="auto"/>
              <w:highlight w:val="none"/>
            </w:rPr>
            <w:fldChar w:fldCharType="separate"/>
          </w:r>
          <w:r>
            <w:rPr>
              <w:rStyle w:val="31"/>
              <w:rFonts w:hint="eastAsia" w:hAnsi="宋体"/>
              <w:b/>
              <w:color w:val="auto"/>
              <w:highlight w:val="none"/>
            </w:rPr>
            <w:t>第五章用户需求书</w:t>
          </w:r>
          <w:r>
            <w:rPr>
              <w:color w:val="auto"/>
              <w:highlight w:val="none"/>
            </w:rPr>
            <w:tab/>
          </w:r>
          <w:r>
            <w:rPr>
              <w:color w:val="auto"/>
              <w:highlight w:val="none"/>
            </w:rPr>
            <w:fldChar w:fldCharType="begin"/>
          </w:r>
          <w:r>
            <w:rPr>
              <w:color w:val="auto"/>
              <w:highlight w:val="none"/>
            </w:rPr>
            <w:instrText xml:space="preserve"> PAGEREF _Toc101965706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22"/>
            <w:tabs>
              <w:tab w:val="right" w:leader="dot" w:pos="9061"/>
            </w:tabs>
            <w:spacing w:line="240" w:lineRule="auto"/>
            <w:rPr>
              <w:rFonts w:ascii="宋体" w:hAnsi="宋体"/>
              <w:color w:val="auto"/>
              <w:highlight w:val="none"/>
            </w:rPr>
          </w:pPr>
          <w:r>
            <w:rPr>
              <w:rFonts w:ascii="宋体" w:hAnsi="宋体"/>
              <w:color w:val="auto"/>
              <w:highlight w:val="none"/>
            </w:rPr>
            <w:fldChar w:fldCharType="end"/>
          </w:r>
        </w:p>
      </w:sdtContent>
    </w:sdt>
    <w:p>
      <w:pPr>
        <w:pStyle w:val="17"/>
        <w:tabs>
          <w:tab w:val="right" w:leader="dot" w:pos="9072"/>
        </w:tabs>
        <w:spacing w:before="0" w:after="0" w:afterAutospacing="0" w:line="240" w:lineRule="auto"/>
        <w:ind w:right="-57" w:firstLine="437"/>
        <w:jc w:val="center"/>
        <w:rPr>
          <w:rFonts w:ascii="宋体" w:hAnsi="宋体"/>
          <w:color w:val="auto"/>
          <w:highlight w:val="none"/>
        </w:rPr>
      </w:pPr>
    </w:p>
    <w:p>
      <w:pPr>
        <w:pStyle w:val="2"/>
        <w:pageBreakBefore/>
        <w:ind w:right="-57" w:firstLine="0"/>
        <w:jc w:val="center"/>
        <w:outlineLvl w:val="0"/>
        <w:rPr>
          <w:rStyle w:val="39"/>
          <w:rFonts w:ascii="宋体" w:hAnsi="宋体" w:eastAsia="宋体"/>
          <w:color w:val="auto"/>
          <w:highlight w:val="none"/>
        </w:rPr>
      </w:pPr>
      <w:bookmarkStart w:id="0" w:name="_Toc481"/>
      <w:bookmarkStart w:id="1" w:name="_Toc14762"/>
      <w:bookmarkStart w:id="2" w:name="_Toc23476"/>
      <w:bookmarkStart w:id="3" w:name="_Toc492478714"/>
      <w:bookmarkStart w:id="4" w:name="_Toc30647"/>
      <w:bookmarkStart w:id="5" w:name="_Toc101965673"/>
      <w:bookmarkStart w:id="6" w:name="_Toc26939"/>
      <w:bookmarkStart w:id="7" w:name="_Toc5910"/>
      <w:bookmarkStart w:id="8" w:name="_Toc375039061"/>
      <w:bookmarkStart w:id="9" w:name="_Toc26192"/>
      <w:bookmarkStart w:id="10" w:name="_Toc25355"/>
      <w:bookmarkStart w:id="11" w:name="_Toc3658"/>
      <w:bookmarkStart w:id="12" w:name="_Toc15211"/>
      <w:bookmarkStart w:id="13" w:name="_Toc23367"/>
      <w:bookmarkStart w:id="14" w:name="_Toc237"/>
      <w:bookmarkStart w:id="15" w:name="_Toc17906"/>
      <w:bookmarkStart w:id="16" w:name="_Toc1227"/>
      <w:bookmarkStart w:id="17" w:name="_Toc26620"/>
      <w:bookmarkStart w:id="18" w:name="_Toc1363"/>
      <w:bookmarkStart w:id="19" w:name="_Toc3400"/>
      <w:r>
        <w:rPr>
          <w:rStyle w:val="39"/>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8"/>
          <w:szCs w:val="28"/>
          <w:highlight w:val="none"/>
          <w:u w:val="single"/>
        </w:rPr>
        <w:t>南宁轨道交通运营有限公司2023年办公家具</w:t>
      </w:r>
      <w:r>
        <w:rPr>
          <w:rFonts w:hint="eastAsia" w:ascii="宋体" w:hAnsi="宋体"/>
          <w:b/>
          <w:color w:val="auto"/>
          <w:sz w:val="28"/>
          <w:szCs w:val="28"/>
          <w:highlight w:val="none"/>
        </w:rPr>
        <w:t>采购项目比选公告</w:t>
      </w:r>
    </w:p>
    <w:p>
      <w:pPr>
        <w:spacing w:before="0" w:after="0" w:afterAutospacing="0"/>
        <w:ind w:left="0" w:right="0" w:firstLine="422" w:firstLineChars="200"/>
        <w:rPr>
          <w:rFonts w:ascii="宋体" w:hAnsi="宋体"/>
          <w:b/>
          <w:color w:val="auto"/>
          <w:highlight w:val="none"/>
        </w:rPr>
      </w:pPr>
      <w:bookmarkStart w:id="20" w:name="OLE_LINK4"/>
      <w:bookmarkEnd w:id="20"/>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rPr>
        <w:t>南宁轨道交通运营有限公司2023年办公家具采购项目</w:t>
      </w:r>
      <w:r>
        <w:rPr>
          <w:rFonts w:hint="eastAsia" w:ascii="宋体" w:hAnsi="宋体"/>
          <w:color w:val="auto"/>
          <w:highlight w:val="none"/>
        </w:rPr>
        <w:t>比选人为</w:t>
      </w:r>
      <w:r>
        <w:rPr>
          <w:rFonts w:hint="eastAsia" w:ascii="宋体" w:hAnsi="宋体"/>
          <w:color w:val="auto"/>
          <w:highlight w:val="none"/>
          <w:u w:val="single"/>
        </w:rPr>
        <w:t>南宁轨道交通运营有限公司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w:t>
      </w:r>
      <w:r>
        <w:rPr>
          <w:rFonts w:hint="eastAsia" w:ascii="宋体" w:hAnsi="宋体"/>
          <w:color w:val="auto"/>
          <w:highlight w:val="none"/>
          <w:u w:val="single"/>
        </w:rPr>
        <w:t>202305170008</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南宁轨道交通运营有限公司2023年办公家具采购项目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不含税上限控制价为人民币捌万捌仟元整（￥88000.00元）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交货期/工期：</w:t>
      </w:r>
      <w:r>
        <w:rPr>
          <w:rFonts w:hint="eastAsia" w:ascii="宋体" w:hAnsi="宋体"/>
          <w:color w:val="auto"/>
          <w:highlight w:val="none"/>
          <w:u w:val="single"/>
        </w:rPr>
        <w:t>90天 ，以交货通知发出起算。</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项目地点：广西壮族自治区南宁市内比选人指定地点。</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rPr>
        <w:t>职员椅子、钢制文件柜、卡座、会议桌等物资采购，</w:t>
      </w:r>
      <w:r>
        <w:rPr>
          <w:rFonts w:hint="eastAsia" w:ascii="宋体" w:hAnsi="宋体"/>
          <w:color w:val="auto"/>
          <w:highlight w:val="none"/>
        </w:rPr>
        <w:t>具体详见用户需求书。</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3.比选申请人资格要求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3.1为中华人民共和国境内依法设立的法人或其他组织（若以分公司名义参与比选申请，必须出具总公司授权参与的证明。）</w:t>
      </w:r>
    </w:p>
    <w:p>
      <w:pPr>
        <w:pStyle w:val="34"/>
        <w:ind w:left="0" w:firstLine="420" w:firstLineChars="200"/>
        <w:rPr>
          <w:rFonts w:ascii="宋体" w:hAnsi="宋体"/>
          <w:color w:val="auto"/>
          <w:highlight w:val="none"/>
        </w:rPr>
      </w:pPr>
      <w:r>
        <w:rPr>
          <w:rFonts w:hint="eastAsia" w:ascii="宋体" w:hAnsi="宋体"/>
          <w:color w:val="auto"/>
          <w:highlight w:val="none"/>
        </w:rPr>
        <w:t>3.2 资质条件：经营范围至少包括下列范围之一：①</w:t>
      </w:r>
      <w:r>
        <w:rPr>
          <w:rFonts w:ascii="Helvetica" w:hAnsi="Helvetica" w:eastAsia="Helvetica" w:cs="Helvetica"/>
          <w:color w:val="auto"/>
          <w:highlight w:val="none"/>
          <w:shd w:val="clear" w:color="auto" w:fill="FFFFFF"/>
        </w:rPr>
        <w:t>办公家具</w:t>
      </w:r>
      <w:r>
        <w:rPr>
          <w:rFonts w:hint="eastAsia" w:ascii="宋体" w:hAnsi="宋体"/>
          <w:color w:val="auto"/>
          <w:highlight w:val="none"/>
        </w:rPr>
        <w:t>，②</w:t>
      </w:r>
      <w:r>
        <w:rPr>
          <w:rFonts w:ascii="Helvetica" w:hAnsi="Helvetica" w:eastAsia="Helvetica" w:cs="Helvetica"/>
          <w:color w:val="auto"/>
          <w:highlight w:val="none"/>
          <w:shd w:val="clear" w:color="auto" w:fill="FFFFFF"/>
        </w:rPr>
        <w:t>办公用品销售</w:t>
      </w:r>
      <w:r>
        <w:rPr>
          <w:rFonts w:hint="eastAsia" w:ascii="宋体" w:hAnsi="宋体"/>
          <w:color w:val="auto"/>
          <w:highlight w:val="none"/>
        </w:rPr>
        <w:t>，③</w:t>
      </w:r>
      <w:r>
        <w:rPr>
          <w:rFonts w:ascii="Helvetica" w:hAnsi="Helvetica" w:eastAsia="Helvetica" w:cs="Helvetica"/>
          <w:color w:val="auto"/>
          <w:highlight w:val="none"/>
          <w:shd w:val="clear" w:color="auto" w:fill="FFFFFF"/>
        </w:rPr>
        <w:t>家具销售</w:t>
      </w:r>
      <w:r>
        <w:rPr>
          <w:rFonts w:hint="eastAsia" w:ascii="宋体" w:hAnsi="宋体"/>
          <w:color w:val="auto"/>
          <w:highlight w:val="none"/>
        </w:rPr>
        <w:t>等类似经营范围。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3.3业绩条件：无业绩要求。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3.6本项目不接受联合体比选申请。</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 2023年</w:t>
      </w:r>
      <w:r>
        <w:rPr>
          <w:rFonts w:hint="eastAsia" w:ascii="宋体" w:hAnsi="宋体"/>
          <w:color w:val="auto"/>
          <w:highlight w:val="none"/>
          <w:lang w:val="en-US" w:eastAsia="zh-CN"/>
        </w:rPr>
        <w:t>9</w:t>
      </w:r>
      <w:r>
        <w:rPr>
          <w:rFonts w:hint="eastAsia" w:ascii="宋体" w:hAnsi="宋体"/>
          <w:color w:val="auto"/>
          <w:highlight w:val="none"/>
        </w:rPr>
        <w:t xml:space="preserve">月 </w:t>
      </w:r>
      <w:r>
        <w:rPr>
          <w:rFonts w:hint="eastAsia" w:ascii="宋体" w:hAnsi="宋体"/>
          <w:color w:val="auto"/>
          <w:highlight w:val="none"/>
          <w:lang w:val="en-US" w:eastAsia="zh-CN"/>
        </w:rPr>
        <w:t xml:space="preserve">18 </w:t>
      </w:r>
      <w:r>
        <w:rPr>
          <w:rFonts w:hint="eastAsia" w:ascii="宋体" w:hAnsi="宋体"/>
          <w:color w:val="auto"/>
          <w:highlight w:val="none"/>
        </w:rPr>
        <w:t>日</w:t>
      </w:r>
      <w:r>
        <w:rPr>
          <w:rFonts w:hint="eastAsia" w:ascii="宋体" w:hAnsi="宋体"/>
          <w:color w:val="auto"/>
          <w:highlight w:val="none"/>
          <w:lang w:val="en-US" w:eastAsia="zh-CN"/>
        </w:rPr>
        <w:t>15</w:t>
      </w:r>
      <w:r>
        <w:rPr>
          <w:rFonts w:hint="eastAsia" w:ascii="宋体" w:hAnsi="宋体"/>
          <w:color w:val="auto"/>
          <w:highlight w:val="none"/>
        </w:rPr>
        <w:t>时</w:t>
      </w:r>
      <w:r>
        <w:rPr>
          <w:rFonts w:hint="eastAsia" w:ascii="宋体" w:hAnsi="宋体"/>
          <w:color w:val="auto"/>
          <w:highlight w:val="none"/>
          <w:lang w:val="en-US" w:eastAsia="zh-CN"/>
        </w:rPr>
        <w:t>0</w:t>
      </w:r>
      <w:r>
        <w:rPr>
          <w:rFonts w:hint="eastAsia" w:ascii="宋体" w:hAnsi="宋体"/>
          <w:color w:val="auto"/>
          <w:highlight w:val="none"/>
        </w:rPr>
        <w:t>0分—</w:t>
      </w:r>
      <w:r>
        <w:rPr>
          <w:rFonts w:hint="eastAsia" w:ascii="宋体" w:hAnsi="宋体"/>
          <w:color w:val="auto"/>
          <w:highlight w:val="none"/>
          <w:lang w:val="en-US" w:eastAsia="zh-CN"/>
        </w:rPr>
        <w:t>15</w:t>
      </w:r>
      <w:r>
        <w:rPr>
          <w:rFonts w:hint="eastAsia" w:ascii="宋体" w:hAnsi="宋体"/>
          <w:color w:val="auto"/>
          <w:highlight w:val="none"/>
        </w:rPr>
        <w:t>时</w:t>
      </w:r>
      <w:r>
        <w:rPr>
          <w:rFonts w:hint="eastAsia" w:ascii="宋体" w:hAnsi="宋体"/>
          <w:color w:val="auto"/>
          <w:highlight w:val="none"/>
          <w:lang w:val="en-US" w:eastAsia="zh-CN"/>
        </w:rPr>
        <w:t>3</w:t>
      </w:r>
      <w:r>
        <w:rPr>
          <w:rFonts w:hint="eastAsia" w:ascii="宋体" w:hAnsi="宋体"/>
          <w:color w:val="auto"/>
          <w:highlight w:val="none"/>
        </w:rPr>
        <w:t>0分（北京时间）递交，递交地点</w:t>
      </w:r>
      <w:r>
        <w:rPr>
          <w:rFonts w:hint="eastAsia" w:ascii="宋体" w:hAnsi="宋体"/>
          <w:color w:val="auto"/>
          <w:highlight w:val="none"/>
          <w:u w:val="single"/>
        </w:rPr>
        <w:t>在广西南宁市青秀区云景路83号南宁轨道交通运营有限公司1号线屯里车辆段综合楼205会议室，递交现场联系人：韦工，电话：15777155495</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8.联系方式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比选 人：南宁轨道交通运营有限公司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联 系 人：</w:t>
      </w:r>
      <w:r>
        <w:rPr>
          <w:rFonts w:hint="eastAsia" w:ascii="宋体" w:hAnsi="宋体"/>
          <w:color w:val="auto"/>
          <w:highlight w:val="none"/>
          <w:u w:val="single"/>
        </w:rPr>
        <w:t xml:space="preserve">(韦工、苏工)  </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电    话：0771-2778303、0771-2778625</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    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电子邮件：</w:t>
      </w:r>
    </w:p>
    <w:p>
      <w:pPr>
        <w:spacing w:before="0" w:after="0" w:afterAutospacing="0" w:line="240" w:lineRule="auto"/>
        <w:ind w:left="0" w:right="0" w:firstLine="420" w:firstLineChars="200"/>
        <w:rPr>
          <w:rFonts w:ascii="宋体" w:hAnsi="宋体"/>
          <w:color w:val="auto"/>
          <w:highlight w:val="none"/>
        </w:rPr>
      </w:pPr>
      <w:r>
        <w:rPr>
          <w:rFonts w:hint="eastAsia" w:ascii="宋体" w:hAnsi="宋体"/>
          <w:color w:val="auto"/>
          <w:highlight w:val="none"/>
        </w:rPr>
        <w:t>纪律监督部门及电话</w:t>
      </w:r>
      <w:r>
        <w:rPr>
          <w:rFonts w:ascii="宋体" w:hAnsi="宋体"/>
          <w:color w:val="auto"/>
          <w:highlight w:val="none"/>
        </w:rPr>
        <w:t xml:space="preserve"> </w:t>
      </w:r>
      <w:r>
        <w:rPr>
          <w:rFonts w:hint="eastAsia" w:ascii="宋体" w:hAnsi="宋体"/>
          <w:color w:val="auto"/>
          <w:highlight w:val="none"/>
        </w:rPr>
        <w:t>：</w:t>
      </w:r>
      <w:r>
        <w:rPr>
          <w:color w:val="auto"/>
          <w:highlight w:val="none"/>
        </w:rPr>
        <w:t>南宁轨道交通运营有限公司纪检监察室0771-2778084</w:t>
      </w:r>
    </w:p>
    <w:p>
      <w:pPr>
        <w:spacing w:before="0" w:after="0" w:afterAutospacing="0"/>
        <w:ind w:left="0" w:right="0" w:firstLine="420" w:firstLineChars="200"/>
        <w:rPr>
          <w:rFonts w:ascii="宋体" w:hAnsi="宋体"/>
          <w:color w:val="auto"/>
          <w:highlight w:val="none"/>
        </w:rPr>
      </w:pPr>
    </w:p>
    <w:p>
      <w:pPr>
        <w:spacing w:before="0" w:after="120" w:line="380" w:lineRule="exact"/>
        <w:ind w:right="-57"/>
        <w:rPr>
          <w:rFonts w:ascii="宋体" w:hAnsi="宋体"/>
          <w:color w:val="auto"/>
          <w:highlight w:val="none"/>
        </w:rPr>
      </w:pPr>
      <w:r>
        <w:rPr>
          <w:rFonts w:hint="eastAsia" w:ascii="宋体" w:hAnsi="宋体"/>
          <w:color w:val="auto"/>
          <w:highlight w:val="none"/>
        </w:rPr>
        <w:t xml:space="preserve"> </w:t>
      </w:r>
    </w:p>
    <w:p>
      <w:pPr>
        <w:spacing w:before="0" w:after="120" w:line="380" w:lineRule="exact"/>
        <w:ind w:left="430" w:right="-57" w:firstLine="200"/>
        <w:rPr>
          <w:rFonts w:ascii="宋体" w:hAnsi="宋体"/>
          <w:color w:val="auto"/>
          <w:highlight w:val="none"/>
        </w:rPr>
      </w:pPr>
    </w:p>
    <w:p>
      <w:pPr>
        <w:pStyle w:val="2"/>
        <w:pageBreakBefore/>
        <w:ind w:right="-57" w:firstLine="0"/>
        <w:jc w:val="center"/>
        <w:outlineLvl w:val="0"/>
        <w:rPr>
          <w:rStyle w:val="39"/>
          <w:rFonts w:ascii="宋体" w:hAnsi="宋体" w:eastAsia="宋体"/>
          <w:color w:val="auto"/>
          <w:highlight w:val="none"/>
        </w:rPr>
      </w:pPr>
      <w:bookmarkStart w:id="21" w:name="_Toc322528192"/>
      <w:bookmarkEnd w:id="21"/>
      <w:bookmarkStart w:id="22" w:name="_Toc512357502"/>
      <w:bookmarkStart w:id="23" w:name="_Toc20201"/>
      <w:bookmarkStart w:id="24" w:name="_Toc1230"/>
      <w:bookmarkStart w:id="25" w:name="_Toc24972"/>
      <w:bookmarkStart w:id="26" w:name="_Toc17735"/>
      <w:bookmarkStart w:id="27" w:name="_Toc12635"/>
      <w:bookmarkStart w:id="28" w:name="_Toc15976"/>
      <w:bookmarkStart w:id="29" w:name="_Toc30950"/>
      <w:bookmarkStart w:id="30" w:name="_Toc17240"/>
      <w:bookmarkStart w:id="31" w:name="_Toc18454"/>
      <w:bookmarkStart w:id="32" w:name="_Toc29836"/>
      <w:bookmarkStart w:id="33" w:name="_Toc22273"/>
      <w:bookmarkStart w:id="34" w:name="_Toc24390"/>
      <w:bookmarkStart w:id="35" w:name="_Toc17594"/>
      <w:bookmarkStart w:id="36" w:name="_Toc3495"/>
      <w:bookmarkStart w:id="37" w:name="_Toc101965674"/>
      <w:bookmarkStart w:id="38" w:name="_Toc21830"/>
      <w:bookmarkStart w:id="39" w:name="_Toc30725"/>
      <w:bookmarkStart w:id="40" w:name="_Toc30883"/>
      <w:r>
        <w:rPr>
          <w:rStyle w:val="39"/>
          <w:rFonts w:hint="eastAsia" w:ascii="宋体" w:hAnsi="宋体" w:eastAsia="宋体"/>
          <w:color w:val="auto"/>
          <w:highlight w:val="none"/>
        </w:rPr>
        <w:t>第二章</w:t>
      </w:r>
      <w:bookmarkEnd w:id="22"/>
      <w:r>
        <w:rPr>
          <w:rStyle w:val="39"/>
          <w:rFonts w:hint="eastAsia" w:ascii="宋体" w:hAnsi="宋体" w:eastAsia="宋体"/>
          <w:color w:val="auto"/>
          <w:highlight w:val="none"/>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4"/>
        <w:spacing w:after="0" w:afterAutospacing="0" w:line="360" w:lineRule="auto"/>
        <w:ind w:left="468" w:leftChars="200" w:right="0" w:hanging="48" w:hangingChars="20"/>
        <w:rPr>
          <w:rFonts w:ascii="宋体" w:hAnsi="宋体" w:eastAsia="宋体"/>
          <w:color w:val="auto"/>
          <w:sz w:val="24"/>
          <w:szCs w:val="24"/>
          <w:highlight w:val="none"/>
        </w:rPr>
      </w:pPr>
      <w:bookmarkStart w:id="41" w:name="_Toc322528193"/>
      <w:bookmarkEnd w:id="41"/>
      <w:bookmarkStart w:id="42" w:name="_Toc101965675"/>
      <w:r>
        <w:rPr>
          <w:rFonts w:hint="eastAsia" w:ascii="宋体" w:hAnsi="宋体" w:eastAsia="宋体"/>
          <w:color w:val="auto"/>
          <w:sz w:val="24"/>
          <w:szCs w:val="24"/>
          <w:highlight w:val="none"/>
        </w:rPr>
        <w:t>一、项目概况</w:t>
      </w:r>
      <w:bookmarkEnd w:id="42"/>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w:t>
      </w:r>
      <w:r>
        <w:rPr>
          <w:rFonts w:hint="eastAsia" w:ascii="宋体" w:hAnsi="宋体"/>
          <w:color w:val="auto"/>
          <w:highlight w:val="none"/>
          <w:u w:val="single"/>
        </w:rPr>
        <w:t>202305170008</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南宁轨道交通运营有限公司2023年办公家具采购项目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不含税上限控制价为人民币捌万捌仟元整（￥88000.00元）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交货期/工期：</w:t>
      </w:r>
      <w:r>
        <w:rPr>
          <w:rFonts w:hint="eastAsia" w:ascii="宋体" w:hAnsi="宋体"/>
          <w:color w:val="auto"/>
          <w:highlight w:val="none"/>
          <w:u w:val="single"/>
        </w:rPr>
        <w:t>90天 ，以交货通知发出起算，</w:t>
      </w:r>
      <w:r>
        <w:rPr>
          <w:rFonts w:hint="eastAsia" w:ascii="宋体" w:hAnsi="宋体"/>
          <w:color w:val="auto"/>
          <w:highlight w:val="none"/>
        </w:rPr>
        <w:t xml:space="preserve"> 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项目地点：广西壮族自治区南宁市内比选人指定地点。</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rPr>
        <w:t>职员椅子、钢制文件柜、卡座、会议桌等物资采购，</w:t>
      </w:r>
      <w:r>
        <w:rPr>
          <w:rFonts w:hint="eastAsia" w:ascii="宋体" w:hAnsi="宋体"/>
          <w:color w:val="auto"/>
          <w:highlight w:val="none"/>
        </w:rPr>
        <w:t>具体详见用户需求书。</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43" w:name="_Toc8562"/>
      <w:bookmarkStart w:id="44" w:name="_Toc16608"/>
      <w:bookmarkStart w:id="45" w:name="_Toc3854"/>
      <w:bookmarkStart w:id="46" w:name="_Toc385427797"/>
      <w:bookmarkStart w:id="47" w:name="_Toc2609"/>
      <w:bookmarkStart w:id="48" w:name="_Toc12983509"/>
      <w:bookmarkStart w:id="49" w:name="_Toc383891172"/>
      <w:bookmarkStart w:id="50" w:name="_Toc16530"/>
      <w:bookmarkStart w:id="51" w:name="_Toc492478722"/>
      <w:bookmarkStart w:id="52" w:name="_Toc375039068"/>
      <w:bookmarkStart w:id="53" w:name="_Toc15763"/>
      <w:bookmarkStart w:id="54" w:name="_Toc9677"/>
      <w:bookmarkStart w:id="55" w:name="_Toc19617"/>
      <w:bookmarkStart w:id="56" w:name="_Toc390098423"/>
      <w:bookmarkStart w:id="57" w:name="_Toc2986"/>
      <w:bookmarkStart w:id="58" w:name="_Toc5160"/>
      <w:bookmarkStart w:id="59" w:name="_Toc6528"/>
      <w:bookmarkStart w:id="60" w:name="_Toc28220"/>
      <w:bookmarkStart w:id="61" w:name="_Toc18528"/>
      <w:bookmarkStart w:id="62" w:name="_Toc16131"/>
      <w:bookmarkStart w:id="63" w:name="_Toc29160"/>
      <w:bookmarkStart w:id="64" w:name="_Toc7339"/>
      <w:bookmarkStart w:id="65" w:name="_Toc5487"/>
      <w:bookmarkStart w:id="66" w:name="_Toc101965676"/>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hint="eastAsia" w:ascii="宋体" w:hAnsi="宋体" w:eastAsia="宋体"/>
          <w:color w:val="auto"/>
          <w:sz w:val="24"/>
          <w:szCs w:val="24"/>
          <w:highlight w:val="none"/>
        </w:rPr>
        <w:t>人资格要求</w:t>
      </w:r>
      <w:bookmarkEnd w:id="66"/>
    </w:p>
    <w:p>
      <w:pPr>
        <w:spacing w:before="0" w:after="0" w:afterAutospacing="0"/>
        <w:ind w:left="0" w:right="0" w:firstLine="420" w:firstLineChars="200"/>
        <w:rPr>
          <w:rFonts w:ascii="宋体" w:hAnsi="宋体"/>
          <w:color w:val="auto"/>
          <w:highlight w:val="none"/>
        </w:rPr>
      </w:pPr>
      <w:bookmarkStart w:id="67" w:name="_Toc27913"/>
      <w:bookmarkStart w:id="68" w:name="_Toc5805"/>
      <w:bookmarkStart w:id="69" w:name="_Toc375039072"/>
      <w:bookmarkStart w:id="70" w:name="_Toc390098427"/>
      <w:bookmarkStart w:id="71" w:name="_Toc492478726"/>
      <w:bookmarkStart w:id="72" w:name="_Toc10869"/>
      <w:bookmarkStart w:id="73" w:name="_Toc17692"/>
      <w:bookmarkStart w:id="74" w:name="_Toc14185"/>
      <w:bookmarkStart w:id="75" w:name="_Toc12983513"/>
      <w:bookmarkStart w:id="76" w:name="_Toc7604"/>
      <w:bookmarkStart w:id="77" w:name="_Toc25361"/>
      <w:bookmarkStart w:id="78" w:name="_Toc24759"/>
      <w:bookmarkStart w:id="79" w:name="_Toc17335"/>
      <w:bookmarkStart w:id="80" w:name="_Toc30363"/>
      <w:bookmarkStart w:id="81" w:name="_Toc383891176"/>
      <w:bookmarkStart w:id="82" w:name="_Toc95"/>
      <w:bookmarkStart w:id="83" w:name="_Toc24557"/>
      <w:bookmarkStart w:id="84" w:name="_Toc18679"/>
      <w:bookmarkStart w:id="85" w:name="_Toc28044"/>
      <w:bookmarkStart w:id="86" w:name="_Toc16406"/>
      <w:bookmarkStart w:id="87" w:name="_Toc4718"/>
      <w:bookmarkStart w:id="88" w:name="_Toc385427801"/>
      <w:bookmarkStart w:id="89" w:name="_Toc2902"/>
      <w:r>
        <w:rPr>
          <w:rFonts w:hint="eastAsia" w:ascii="宋体" w:hAnsi="宋体"/>
          <w:color w:val="auto"/>
          <w:highlight w:val="none"/>
        </w:rPr>
        <w:t>2.1为中华人民共和国境内依法设立的法人或其他组织（若以分公司名义参与比选申请，必须出具总公司授权参与的证明。）</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 资质条件：经营范围至少包括下列范围之一：①</w:t>
      </w:r>
      <w:r>
        <w:rPr>
          <w:rFonts w:ascii="Helvetica" w:hAnsi="Helvetica" w:eastAsia="Helvetica" w:cs="Helvetica"/>
          <w:color w:val="auto"/>
          <w:highlight w:val="none"/>
          <w:shd w:val="clear" w:color="auto" w:fill="FFFFFF"/>
        </w:rPr>
        <w:t>办公家具</w:t>
      </w:r>
      <w:r>
        <w:rPr>
          <w:rFonts w:hint="eastAsia" w:ascii="宋体" w:hAnsi="宋体"/>
          <w:color w:val="auto"/>
          <w:highlight w:val="none"/>
        </w:rPr>
        <w:t>，②</w:t>
      </w:r>
      <w:r>
        <w:rPr>
          <w:rFonts w:ascii="Helvetica" w:hAnsi="Helvetica" w:eastAsia="Helvetica" w:cs="Helvetica"/>
          <w:color w:val="auto"/>
          <w:highlight w:val="none"/>
          <w:shd w:val="clear" w:color="auto" w:fill="FFFFFF"/>
        </w:rPr>
        <w:t>办公用品销售</w:t>
      </w:r>
      <w:r>
        <w:rPr>
          <w:rFonts w:hint="eastAsia" w:ascii="宋体" w:hAnsi="宋体"/>
          <w:color w:val="auto"/>
          <w:highlight w:val="none"/>
        </w:rPr>
        <w:t>，③</w:t>
      </w:r>
      <w:r>
        <w:rPr>
          <w:rFonts w:ascii="Helvetica" w:hAnsi="Helvetica" w:eastAsia="Helvetica" w:cs="Helvetica"/>
          <w:color w:val="auto"/>
          <w:highlight w:val="none"/>
          <w:shd w:val="clear" w:color="auto" w:fill="FFFFFF"/>
        </w:rPr>
        <w:t>家具销售</w:t>
      </w:r>
      <w:r>
        <w:rPr>
          <w:rFonts w:hint="eastAsia" w:ascii="宋体" w:hAnsi="宋体"/>
          <w:color w:val="auto"/>
          <w:highlight w:val="none"/>
        </w:rPr>
        <w:t>等类似经营范围。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2.3业绩条件：无业绩要求；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2.6本项目不接受联合体比选申请。</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90" w:name="_Toc101965677"/>
      <w:r>
        <w:rPr>
          <w:rFonts w:hint="eastAsia" w:ascii="宋体" w:hAnsi="宋体" w:eastAsia="宋体"/>
          <w:color w:val="auto"/>
          <w:sz w:val="24"/>
          <w:szCs w:val="24"/>
          <w:highlight w:val="none"/>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ascii="宋体" w:hAnsi="宋体" w:eastAsia="宋体"/>
          <w:color w:val="auto"/>
          <w:sz w:val="24"/>
          <w:szCs w:val="24"/>
          <w:highlight w:val="none"/>
        </w:rPr>
        <w:t>比选申请文件内容</w:t>
      </w:r>
      <w:bookmarkEnd w:id="9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（2）比选承诺函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（3）比选申请报价表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（4）法定代表人身份证明及授权书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（5）企业证照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（6）类似项目业绩表（如有）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（7）比选响应表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（8）其他（如原厂授权等）</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91" w:name="_Toc101965678"/>
      <w:r>
        <w:rPr>
          <w:rFonts w:hint="eastAsia" w:ascii="宋体" w:hAnsi="宋体" w:eastAsia="宋体"/>
          <w:color w:val="auto"/>
          <w:sz w:val="24"/>
          <w:szCs w:val="24"/>
          <w:highlight w:val="none"/>
        </w:rPr>
        <w:t>四、比选申请文件签字及装订要求</w:t>
      </w:r>
      <w:bookmarkEnd w:id="91"/>
    </w:p>
    <w:p>
      <w:pPr>
        <w:spacing w:before="0" w:after="0" w:afterAutospacing="0"/>
        <w:ind w:left="0" w:right="0" w:firstLine="420" w:firstLineChars="200"/>
        <w:rPr>
          <w:rFonts w:ascii="宋体" w:hAnsi="宋体"/>
          <w:color w:val="auto"/>
          <w:highlight w:val="none"/>
        </w:rPr>
      </w:pPr>
      <w:bookmarkStart w:id="92" w:name="_Toc26680"/>
      <w:bookmarkStart w:id="93" w:name="_Toc16435"/>
      <w:bookmarkStart w:id="94" w:name="_Toc11259"/>
      <w:bookmarkStart w:id="95" w:name="_Toc18350"/>
      <w:bookmarkStart w:id="96" w:name="_Toc16186"/>
      <w:bookmarkStart w:id="97" w:name="_Toc26150"/>
      <w:bookmarkStart w:id="98" w:name="_Toc492478727"/>
      <w:bookmarkStart w:id="99" w:name="_Toc29862"/>
      <w:bookmarkStart w:id="100" w:name="_Toc12074"/>
      <w:bookmarkStart w:id="101" w:name="_Toc4384"/>
      <w:bookmarkStart w:id="102" w:name="_Toc20025"/>
      <w:bookmarkStart w:id="103" w:name="_Toc375039073"/>
      <w:bookmarkStart w:id="104" w:name="_Toc2819"/>
      <w:bookmarkStart w:id="105" w:name="_Toc23794"/>
      <w:bookmarkStart w:id="106" w:name="_Toc9592"/>
      <w:bookmarkStart w:id="107" w:name="_Toc1733"/>
      <w:bookmarkStart w:id="108" w:name="_Toc21673"/>
      <w:bookmarkStart w:id="109" w:name="_Toc383891177"/>
      <w:bookmarkStart w:id="110" w:name="_Toc13418"/>
      <w:bookmarkStart w:id="111" w:name="_Toc12456"/>
      <w:bookmarkStart w:id="112" w:name="_Toc385427802"/>
      <w:bookmarkStart w:id="113" w:name="_Toc25750600"/>
      <w:bookmarkStart w:id="114" w:name="_Toc390098428"/>
      <w:bookmarkStart w:id="115" w:name="_Toc12983514"/>
      <w:r>
        <w:rPr>
          <w:rFonts w:hint="eastAsia" w:ascii="宋体" w:hAnsi="宋体"/>
          <w:color w:val="auto"/>
          <w:highlight w:val="none"/>
        </w:rPr>
        <w:t>4.1比选申请文件应提交纸质版5份（正本1份，副本4份）、U盘电子版1份（内含比选申请文件正本全本扫描件及</w:t>
      </w:r>
      <w:r>
        <w:rPr>
          <w:rFonts w:ascii="宋体" w:hAnsi="宋体"/>
          <w:color w:val="auto"/>
          <w:highlight w:val="none"/>
        </w:rPr>
        <w:t>office</w:t>
      </w:r>
      <w:r>
        <w:rPr>
          <w:rFonts w:hint="eastAsia" w:ascii="宋体" w:hAnsi="宋体"/>
          <w:color w:val="auto"/>
          <w:highlight w:val="none"/>
        </w:rPr>
        <w:t>或WPS版本）。副本可使用正本复印件。</w:t>
      </w:r>
      <w:r>
        <w:rPr>
          <w:rFonts w:ascii="宋体" w:hAnsi="宋体"/>
          <w:color w:val="auto"/>
          <w:highlight w:val="none"/>
        </w:rPr>
        <w:t>若正本和副本</w:t>
      </w:r>
      <w:r>
        <w:rPr>
          <w:rFonts w:hint="eastAsia" w:ascii="宋体" w:hAnsi="宋体"/>
          <w:color w:val="auto"/>
          <w:highlight w:val="none"/>
        </w:rPr>
        <w:t>不一致时</w:t>
      </w:r>
      <w:r>
        <w:rPr>
          <w:rFonts w:ascii="宋体" w:hAnsi="宋体"/>
          <w:color w:val="auto"/>
          <w:highlight w:val="none"/>
        </w:rPr>
        <w:t>，以正本为准</w:t>
      </w:r>
      <w:r>
        <w:rPr>
          <w:rFonts w:hint="eastAsia" w:ascii="宋体" w:hAnsi="宋体"/>
          <w:color w:val="auto"/>
          <w:highlight w:val="none"/>
        </w:rPr>
        <w:t>；</w:t>
      </w:r>
      <w:r>
        <w:rPr>
          <w:rFonts w:ascii="宋体" w:hAnsi="宋体"/>
          <w:color w:val="auto"/>
          <w:highlight w:val="none"/>
        </w:rPr>
        <w:t>电子版与纸</w:t>
      </w:r>
      <w:r>
        <w:rPr>
          <w:rFonts w:hint="eastAsia" w:ascii="宋体" w:hAnsi="宋体"/>
          <w:color w:val="auto"/>
          <w:highlight w:val="none"/>
        </w:rPr>
        <w:t>质</w:t>
      </w:r>
      <w:r>
        <w:rPr>
          <w:rFonts w:ascii="宋体" w:hAnsi="宋体"/>
          <w:color w:val="auto"/>
          <w:highlight w:val="none"/>
        </w:rPr>
        <w:t>文件</w:t>
      </w:r>
      <w:r>
        <w:rPr>
          <w:rFonts w:hint="eastAsia" w:ascii="宋体" w:hAnsi="宋体"/>
          <w:color w:val="auto"/>
          <w:highlight w:val="none"/>
        </w:rPr>
        <w:t>不一致时，</w:t>
      </w:r>
      <w:r>
        <w:rPr>
          <w:rFonts w:ascii="宋体" w:hAnsi="宋体"/>
          <w:color w:val="auto"/>
          <w:highlight w:val="none"/>
        </w:rPr>
        <w:t>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color w:val="auto"/>
          <w:highlight w:val="none"/>
        </w:rPr>
        <w:t>。但由此不一致造成的评标差错由比选申请人自形承担。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4.2</w:t>
      </w:r>
      <w:r>
        <w:rPr>
          <w:rFonts w:ascii="宋体" w:hAnsi="宋体"/>
          <w:color w:val="auto"/>
          <w:highlight w:val="none"/>
        </w:rPr>
        <w:t xml:space="preserve"> </w:t>
      </w:r>
      <w:r>
        <w:rPr>
          <w:rFonts w:hint="eastAsia" w:ascii="宋体" w:hAnsi="宋体"/>
          <w:b/>
          <w:color w:val="auto"/>
          <w:highlight w:val="none"/>
        </w:rPr>
        <w:t>比选申请</w:t>
      </w:r>
      <w:r>
        <w:rPr>
          <w:rFonts w:ascii="宋体" w:hAnsi="宋体"/>
          <w:b/>
          <w:color w:val="auto"/>
          <w:highlight w:val="none"/>
        </w:rPr>
        <w:t>文件的正本需打印，并由比选申请人法定代表人或其授权委托人</w:t>
      </w:r>
      <w:r>
        <w:rPr>
          <w:rFonts w:hint="eastAsia" w:ascii="宋体" w:hAnsi="宋体"/>
          <w:b/>
          <w:color w:val="auto"/>
          <w:highlight w:val="none"/>
        </w:rPr>
        <w:t>在比选申请文件规定的相关位置</w:t>
      </w:r>
      <w:r>
        <w:rPr>
          <w:rFonts w:ascii="宋体" w:hAnsi="宋体"/>
          <w:b/>
          <w:color w:val="auto"/>
          <w:highlight w:val="none"/>
        </w:rPr>
        <w:t>签字并加盖公章。</w:t>
      </w:r>
      <w:r>
        <w:rPr>
          <w:rFonts w:ascii="宋体" w:hAnsi="宋体"/>
          <w:color w:val="auto"/>
          <w:highlight w:val="none"/>
        </w:rPr>
        <w:t xml:space="preserve"> “</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是指应为法定代表人或被授权人在规定签署处亲笔写上个人的名字或者加盖个人签字章的行为。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4.3</w:t>
      </w:r>
      <w:r>
        <w:rPr>
          <w:rFonts w:ascii="宋体" w:hAnsi="宋体"/>
          <w:color w:val="auto"/>
          <w:highlight w:val="none"/>
        </w:rPr>
        <w:t xml:space="preserve"> </w:t>
      </w:r>
      <w:r>
        <w:rPr>
          <w:rFonts w:hint="eastAsia" w:ascii="宋体" w:hAnsi="宋体"/>
          <w:color w:val="auto"/>
          <w:highlight w:val="none"/>
        </w:rPr>
        <w:t>比选申请文件</w:t>
      </w:r>
      <w:r>
        <w:rPr>
          <w:rFonts w:ascii="宋体" w:hAnsi="宋体"/>
          <w:color w:val="auto"/>
          <w:highlight w:val="none"/>
        </w:rPr>
        <w:t>统一为A4</w:t>
      </w:r>
      <w:r>
        <w:rPr>
          <w:rFonts w:hint="eastAsia" w:ascii="宋体" w:hAnsi="宋体"/>
          <w:color w:val="auto"/>
          <w:highlight w:val="none"/>
        </w:rPr>
        <w:t>版大小（图、表及证件等可折叠成A4大小）</w:t>
      </w:r>
      <w:r>
        <w:rPr>
          <w:rFonts w:ascii="宋体" w:hAnsi="宋体"/>
          <w:color w:val="auto"/>
          <w:highlight w:val="none"/>
        </w:rPr>
        <w:t>，纸质封面，装订</w:t>
      </w:r>
      <w:r>
        <w:rPr>
          <w:rFonts w:hint="eastAsia" w:ascii="宋体" w:hAnsi="宋体"/>
          <w:color w:val="auto"/>
          <w:highlight w:val="none"/>
        </w:rPr>
        <w:t>成册，不得有零散页</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4.4响应文件需密封包装，且封面注明：</w:t>
      </w:r>
    </w:p>
    <w:p>
      <w:pPr>
        <w:tabs>
          <w:tab w:val="left" w:pos="1155"/>
        </w:tabs>
        <w:spacing w:before="0" w:after="0" w:afterAutospacing="0"/>
        <w:ind w:left="0" w:right="0" w:firstLine="525" w:firstLineChars="250"/>
        <w:rPr>
          <w:rFonts w:ascii="宋体" w:hAnsi="宋体"/>
          <w:color w:val="auto"/>
          <w:highlight w:val="none"/>
        </w:rPr>
      </w:pPr>
      <w:r>
        <w:rPr>
          <w:rFonts w:ascii="宋体" w:hAnsi="宋体"/>
          <w:color w:val="auto"/>
          <w:highlight w:val="none"/>
        </w:rPr>
        <w:t>项目名称：</w:t>
      </w:r>
      <w:r>
        <w:rPr>
          <w:rFonts w:hint="eastAsia" w:ascii="宋体" w:hAnsi="宋体"/>
          <w:color w:val="auto"/>
          <w:highlight w:val="none"/>
          <w:u w:val="single"/>
        </w:rPr>
        <w:t xml:space="preserve"> 南宁轨道交通运营有限公司2023年办公家具采购项目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ascii="宋体" w:hAnsi="宋体"/>
          <w:color w:val="auto"/>
          <w:highlight w:val="none"/>
        </w:rPr>
        <w:t>项目编号：</w:t>
      </w:r>
      <w:r>
        <w:rPr>
          <w:rFonts w:hint="eastAsia" w:ascii="宋体" w:hAnsi="宋体"/>
          <w:color w:val="auto"/>
          <w:highlight w:val="none"/>
          <w:u w:val="single"/>
        </w:rPr>
        <w:t xml:space="preserve">  202305170008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比选申请人名称：</w:t>
      </w:r>
      <w:r>
        <w:rPr>
          <w:rFonts w:hint="eastAsia" w:ascii="宋体" w:hAnsi="宋体"/>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填写</w:t>
      </w:r>
      <w:r>
        <w:rPr>
          <w:rFonts w:ascii="宋体" w:hAnsi="宋体"/>
          <w:color w:val="auto"/>
          <w:highlight w:val="none"/>
          <w:u w:val="single"/>
        </w:rPr>
        <w:t>）</w:t>
      </w:r>
      <w:r>
        <w:rPr>
          <w:rFonts w:hint="eastAsia" w:ascii="宋体" w:hAnsi="宋体"/>
          <w:color w:val="auto"/>
          <w:highlight w:val="none"/>
          <w:u w:val="single"/>
        </w:rPr>
        <w:t xml:space="preserve">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比选申请人电话：</w:t>
      </w:r>
      <w:r>
        <w:rPr>
          <w:rFonts w:hint="eastAsia" w:ascii="宋体" w:hAnsi="宋体"/>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填写</w:t>
      </w:r>
      <w:r>
        <w:rPr>
          <w:rFonts w:ascii="宋体" w:hAnsi="宋体"/>
          <w:color w:val="auto"/>
          <w:highlight w:val="none"/>
          <w:u w:val="single"/>
        </w:rPr>
        <w:t>）</w:t>
      </w:r>
      <w:r>
        <w:rPr>
          <w:rFonts w:hint="eastAsia" w:ascii="宋体" w:hAnsi="宋体"/>
          <w:color w:val="auto"/>
          <w:highlight w:val="none"/>
          <w:u w:val="single"/>
        </w:rPr>
        <w:t xml:space="preserve">   </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16" w:name="_Toc101965679"/>
      <w:r>
        <w:rPr>
          <w:rFonts w:hint="eastAsia" w:ascii="宋体" w:hAnsi="宋体" w:eastAsia="宋体"/>
          <w:color w:val="auto"/>
          <w:sz w:val="24"/>
          <w:szCs w:val="24"/>
          <w:highlight w:val="none"/>
        </w:rPr>
        <w:t>五、比选申请文件的递交</w:t>
      </w:r>
      <w:bookmarkEnd w:id="11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5.1比选申请文件须密封后于 </w:t>
      </w:r>
      <w:r>
        <w:rPr>
          <w:rFonts w:hint="eastAsia" w:ascii="宋体" w:hAnsi="宋体"/>
          <w:color w:val="auto"/>
          <w:highlight w:val="yellow"/>
        </w:rPr>
        <w:t>2023 年</w:t>
      </w:r>
      <w:r>
        <w:rPr>
          <w:rFonts w:hint="eastAsia" w:ascii="宋体" w:hAnsi="宋体"/>
          <w:color w:val="auto"/>
          <w:highlight w:val="yellow"/>
          <w:lang w:val="en-US" w:eastAsia="zh-CN"/>
        </w:rPr>
        <w:t xml:space="preserve">9 </w:t>
      </w:r>
      <w:r>
        <w:rPr>
          <w:rFonts w:hint="eastAsia" w:ascii="宋体" w:hAnsi="宋体"/>
          <w:color w:val="auto"/>
          <w:highlight w:val="yellow"/>
        </w:rPr>
        <w:t xml:space="preserve">月 </w:t>
      </w:r>
      <w:r>
        <w:rPr>
          <w:rFonts w:hint="eastAsia" w:ascii="宋体" w:hAnsi="宋体"/>
          <w:color w:val="auto"/>
          <w:highlight w:val="yellow"/>
          <w:lang w:val="en-US" w:eastAsia="zh-CN"/>
        </w:rPr>
        <w:t xml:space="preserve">18 </w:t>
      </w:r>
      <w:r>
        <w:rPr>
          <w:rFonts w:hint="eastAsia" w:ascii="宋体" w:hAnsi="宋体"/>
          <w:color w:val="auto"/>
          <w:highlight w:val="yellow"/>
        </w:rPr>
        <w:t>日</w:t>
      </w:r>
      <w:r>
        <w:rPr>
          <w:rFonts w:hint="eastAsia" w:ascii="宋体" w:hAnsi="宋体"/>
          <w:color w:val="auto"/>
          <w:highlight w:val="yellow"/>
          <w:lang w:val="en-US" w:eastAsia="zh-CN"/>
        </w:rPr>
        <w:t>15</w:t>
      </w:r>
      <w:r>
        <w:rPr>
          <w:rFonts w:hint="eastAsia" w:ascii="宋体" w:hAnsi="宋体"/>
          <w:color w:val="auto"/>
          <w:highlight w:val="yellow"/>
        </w:rPr>
        <w:t>时</w:t>
      </w:r>
      <w:r>
        <w:rPr>
          <w:rFonts w:hint="eastAsia" w:ascii="宋体" w:hAnsi="宋体"/>
          <w:color w:val="auto"/>
          <w:highlight w:val="yellow"/>
          <w:lang w:val="en-US" w:eastAsia="zh-CN"/>
        </w:rPr>
        <w:t>0</w:t>
      </w:r>
      <w:r>
        <w:rPr>
          <w:rFonts w:hint="eastAsia" w:ascii="宋体" w:hAnsi="宋体"/>
          <w:color w:val="auto"/>
          <w:highlight w:val="yellow"/>
        </w:rPr>
        <w:t>0分—</w:t>
      </w:r>
      <w:r>
        <w:rPr>
          <w:rFonts w:hint="eastAsia" w:ascii="宋体" w:hAnsi="宋体"/>
          <w:color w:val="auto"/>
          <w:highlight w:val="yellow"/>
          <w:lang w:val="en-US" w:eastAsia="zh-CN"/>
        </w:rPr>
        <w:t>15</w:t>
      </w:r>
      <w:r>
        <w:rPr>
          <w:rFonts w:hint="eastAsia" w:ascii="宋体" w:hAnsi="宋体"/>
          <w:color w:val="auto"/>
          <w:highlight w:val="yellow"/>
        </w:rPr>
        <w:t>时</w:t>
      </w:r>
      <w:r>
        <w:rPr>
          <w:rFonts w:hint="eastAsia" w:ascii="宋体" w:hAnsi="宋体"/>
          <w:color w:val="auto"/>
          <w:highlight w:val="yellow"/>
          <w:lang w:val="en-US" w:eastAsia="zh-CN"/>
        </w:rPr>
        <w:t>3</w:t>
      </w:r>
      <w:r>
        <w:rPr>
          <w:rFonts w:hint="eastAsia" w:ascii="宋体" w:hAnsi="宋体"/>
          <w:color w:val="auto"/>
          <w:highlight w:val="yellow"/>
        </w:rPr>
        <w:t>0分（北京时间）</w:t>
      </w:r>
      <w:r>
        <w:rPr>
          <w:rFonts w:hint="eastAsia" w:ascii="宋体" w:hAnsi="宋体"/>
          <w:color w:val="auto"/>
          <w:highlight w:val="none"/>
        </w:rPr>
        <w:t>递交，递交地点在广西南宁市青秀区云景路83号</w:t>
      </w:r>
      <w:r>
        <w:rPr>
          <w:rFonts w:hint="eastAsia" w:ascii="宋体" w:hAnsi="宋体"/>
          <w:color w:val="auto"/>
          <w:highlight w:val="none"/>
          <w:u w:val="none"/>
        </w:rPr>
        <w:t>1号线</w:t>
      </w:r>
      <w:r>
        <w:rPr>
          <w:rFonts w:hint="eastAsia" w:ascii="宋体" w:hAnsi="宋体"/>
          <w:color w:val="auto"/>
          <w:highlight w:val="none"/>
        </w:rPr>
        <w:t xml:space="preserve">屯里车辆段综合楼  </w:t>
      </w:r>
      <w:r>
        <w:rPr>
          <w:rFonts w:hint="eastAsia" w:ascii="宋体" w:hAnsi="宋体"/>
          <w:color w:val="auto"/>
          <w:highlight w:val="none"/>
          <w:lang w:val="en-US" w:eastAsia="zh-CN"/>
        </w:rPr>
        <w:t>205</w:t>
      </w:r>
      <w:r>
        <w:rPr>
          <w:rFonts w:hint="eastAsia" w:ascii="宋体" w:hAnsi="宋体"/>
          <w:color w:val="auto"/>
          <w:highlight w:val="none"/>
        </w:rPr>
        <w:t xml:space="preserve">  会议室；</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5.2逾期送达或未送达指定地点的比选申请文件，比选人不予受理。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5.3未按本文件要求密封的比选申请文件不予受理。</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17" w:name="_Toc101965680"/>
      <w:r>
        <w:rPr>
          <w:rFonts w:hint="eastAsia" w:ascii="宋体" w:hAnsi="宋体" w:eastAsia="宋体"/>
          <w:color w:val="auto"/>
          <w:sz w:val="24"/>
          <w:szCs w:val="24"/>
          <w:highlight w:val="none"/>
        </w:rPr>
        <w:t>六、比选申请人提出问题的截止时间</w:t>
      </w:r>
      <w:bookmarkEnd w:id="117"/>
    </w:p>
    <w:p>
      <w:pPr>
        <w:spacing w:before="0" w:after="0" w:afterAutospacing="0"/>
        <w:ind w:left="0" w:right="0" w:firstLine="420" w:firstLineChars="200"/>
        <w:rPr>
          <w:rFonts w:ascii="宋体" w:hAnsi="宋体"/>
          <w:color w:val="auto"/>
          <w:highlight w:val="yellow"/>
        </w:rPr>
      </w:pPr>
      <w:r>
        <w:rPr>
          <w:rFonts w:hint="eastAsia" w:ascii="宋体" w:hAnsi="宋体"/>
          <w:color w:val="auto"/>
          <w:highlight w:val="none"/>
        </w:rPr>
        <w:t>6.1比选申请人提出问题的截止时间为</w:t>
      </w:r>
      <w:r>
        <w:rPr>
          <w:rFonts w:hint="eastAsia" w:ascii="宋体" w:hAnsi="宋体"/>
          <w:color w:val="auto"/>
          <w:highlight w:val="yellow"/>
          <w:lang w:val="en-US" w:eastAsia="zh-CN"/>
        </w:rPr>
        <w:t>2023</w:t>
      </w:r>
      <w:r>
        <w:rPr>
          <w:rFonts w:hint="eastAsia" w:ascii="宋体" w:hAnsi="宋体"/>
          <w:color w:val="auto"/>
          <w:highlight w:val="yellow"/>
        </w:rPr>
        <w:t>年</w:t>
      </w:r>
      <w:r>
        <w:rPr>
          <w:rFonts w:hint="eastAsia" w:ascii="宋体" w:hAnsi="宋体"/>
          <w:color w:val="auto"/>
          <w:highlight w:val="yellow"/>
          <w:lang w:val="en-US" w:eastAsia="zh-CN"/>
        </w:rPr>
        <w:t>9</w:t>
      </w:r>
      <w:r>
        <w:rPr>
          <w:rFonts w:hint="eastAsia" w:ascii="宋体" w:hAnsi="宋体"/>
          <w:color w:val="auto"/>
          <w:highlight w:val="yellow"/>
        </w:rPr>
        <w:t>月</w:t>
      </w:r>
      <w:r>
        <w:rPr>
          <w:rFonts w:hint="eastAsia" w:ascii="宋体" w:hAnsi="宋体"/>
          <w:color w:val="auto"/>
          <w:highlight w:val="yellow"/>
          <w:lang w:val="en-US" w:eastAsia="zh-CN"/>
        </w:rPr>
        <w:t>13</w:t>
      </w:r>
      <w:r>
        <w:rPr>
          <w:rFonts w:hint="eastAsia" w:ascii="宋体" w:hAnsi="宋体"/>
          <w:color w:val="auto"/>
          <w:highlight w:val="yellow"/>
        </w:rPr>
        <w:t>日</w:t>
      </w:r>
      <w:r>
        <w:rPr>
          <w:rFonts w:hint="eastAsia" w:ascii="宋体" w:hAnsi="宋体"/>
          <w:color w:val="auto"/>
          <w:highlight w:val="yellow"/>
          <w:u w:val="single"/>
          <w:lang w:val="en-US" w:eastAsia="zh-CN"/>
        </w:rPr>
        <w:t>17</w:t>
      </w:r>
      <w:r>
        <w:rPr>
          <w:rFonts w:hint="eastAsia" w:ascii="宋体" w:hAnsi="宋体"/>
          <w:color w:val="auto"/>
          <w:highlight w:val="yellow"/>
        </w:rPr>
        <w:t>时</w:t>
      </w:r>
      <w:r>
        <w:rPr>
          <w:rFonts w:hint="eastAsia" w:ascii="宋体" w:hAnsi="宋体"/>
          <w:color w:val="auto"/>
          <w:highlight w:val="yellow"/>
          <w:lang w:val="en-US" w:eastAsia="zh-CN"/>
        </w:rPr>
        <w:t>0</w:t>
      </w:r>
      <w:r>
        <w:rPr>
          <w:rFonts w:hint="eastAsia" w:ascii="宋体" w:hAnsi="宋体"/>
          <w:color w:val="auto"/>
          <w:highlight w:val="yellow"/>
          <w:u w:val="single"/>
          <w:lang w:val="en-US" w:eastAsia="zh-CN"/>
        </w:rPr>
        <w:t>0</w:t>
      </w:r>
      <w:r>
        <w:rPr>
          <w:rFonts w:hint="eastAsia" w:ascii="宋体" w:hAnsi="宋体"/>
          <w:color w:val="auto"/>
          <w:highlight w:val="yellow"/>
        </w:rPr>
        <w:t>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6.2需澄清的问题需以书面形式于上述提出问题截止时间前将加盖法人公章的电子版扫描件发到2059201254@qq.com邮箱。</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6.3比选申请人不在规定期限内提出，比选人有权不予答复。答复后比选申请截止时间由比选人确定是否顺延。</w:t>
      </w:r>
      <w:bookmarkStart w:id="325" w:name="_GoBack"/>
      <w:bookmarkEnd w:id="325"/>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18" w:name="_Toc101965681"/>
      <w:r>
        <w:rPr>
          <w:rFonts w:hint="eastAsia" w:ascii="宋体" w:hAnsi="宋体" w:eastAsia="宋体"/>
          <w:color w:val="auto"/>
          <w:sz w:val="24"/>
          <w:szCs w:val="24"/>
          <w:highlight w:val="none"/>
        </w:rPr>
        <w:t>七、报价要求</w:t>
      </w:r>
      <w:bookmarkEnd w:id="11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7.1本项目合同价格形式采用以下方式：</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7.2</w:t>
      </w:r>
      <w:r>
        <w:rPr>
          <w:color w:val="auto"/>
          <w:highlight w:val="none"/>
        </w:rPr>
        <w:t>本项目采用不含税报价，在签订本项目合同时，</w:t>
      </w:r>
      <w:r>
        <w:rPr>
          <w:rFonts w:hint="eastAsia"/>
          <w:color w:val="auto"/>
          <w:highlight w:val="none"/>
        </w:rPr>
        <w:t>遵循国家现行税法的相关规定</w:t>
      </w:r>
      <w:r>
        <w:rPr>
          <w:color w:val="auto"/>
          <w:highlight w:val="none"/>
        </w:rPr>
        <w:t>在中标人不含税</w:t>
      </w:r>
      <w:r>
        <w:rPr>
          <w:rFonts w:hint="eastAsia"/>
          <w:color w:val="auto"/>
          <w:highlight w:val="none"/>
        </w:rPr>
        <w:t>单</w:t>
      </w:r>
      <w:r>
        <w:rPr>
          <w:color w:val="auto"/>
          <w:highlight w:val="none"/>
        </w:rPr>
        <w:t>价的基础上</w:t>
      </w:r>
      <w:r>
        <w:rPr>
          <w:rFonts w:hint="eastAsia"/>
          <w:color w:val="auto"/>
          <w:highlight w:val="none"/>
        </w:rPr>
        <w:t>逐项增加税费，并</w:t>
      </w:r>
      <w:r>
        <w:rPr>
          <w:color w:val="auto"/>
          <w:highlight w:val="none"/>
        </w:rPr>
        <w:t>明确相应税率和税金</w:t>
      </w:r>
      <w:r>
        <w:rPr>
          <w:rFonts w:hint="eastAsia"/>
          <w:color w:val="auto"/>
          <w:highlight w:val="none"/>
        </w:rPr>
        <w:t>，</w:t>
      </w:r>
      <w:r>
        <w:rPr>
          <w:rFonts w:hint="eastAsia" w:ascii="宋体" w:hAnsi="宋体"/>
          <w:color w:val="auto"/>
          <w:highlight w:val="none"/>
        </w:rPr>
        <w:t>含税价格计算保留小数点后两位，含税合价为单价与数量的乘积，合同总价为分项合价之和。</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比选申请人须按第五章《用户需求书》中的技术需求及数量表的顺序填报投标报价表，不允许打乱顺序。比选申请人应完整地填写比选文件中提供的“比选申请报价一览表”及“比选申请报价明细表”。投标人在“比选申请报价一览表”及“比选申请报价明细表”内所填报的总价应相一致。</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7.4</w:t>
      </w:r>
      <w:r>
        <w:rPr>
          <w:rFonts w:ascii="宋体" w:hAnsi="宋体"/>
          <w:color w:val="auto"/>
          <w:highlight w:val="none"/>
        </w:rPr>
        <w:t xml:space="preserve"> </w:t>
      </w:r>
      <w:r>
        <w:rPr>
          <w:rFonts w:hint="eastAsia" w:ascii="宋体" w:hAnsi="宋体"/>
          <w:color w:val="auto"/>
          <w:highlight w:val="none"/>
        </w:rPr>
        <w:t>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7.5比选申请</w:t>
      </w:r>
      <w:r>
        <w:rPr>
          <w:rFonts w:ascii="宋体" w:hAnsi="宋体"/>
          <w:color w:val="auto"/>
          <w:highlight w:val="none"/>
        </w:rPr>
        <w:t>报价已包括所有应支付的，对专利权、著作权、注册商标专有使用权、计算机软件登记或其他知识产权而需要向其他方支付各项等费用</w:t>
      </w:r>
      <w:r>
        <w:rPr>
          <w:rFonts w:hint="eastAsia"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7.6 比选申请人应根据比选文件第五章《用户需求书》的要求及项目的实际需要自行考虑并完善供货、服务和施工安装（如有）内容。比选申请报价应将所有内容考虑在内，不得漏项或缺项。</w:t>
      </w:r>
      <w:r>
        <w:rPr>
          <w:rFonts w:hint="eastAsia" w:ascii="宋体" w:hAnsi="宋体"/>
          <w:b/>
          <w:color w:val="auto"/>
          <w:highlight w:val="none"/>
        </w:rPr>
        <w:t>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7.7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7.8比选申请人报价有计算错误的，可按下述原则对报价进行修正：</w:t>
      </w:r>
    </w:p>
    <w:p>
      <w:pPr>
        <w:tabs>
          <w:tab w:val="left" w:pos="4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）评标价以不含税总报价为基准。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4"/>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（4）当单价与数量相乘不等于合价时，以单价计算为准，如果单价有明显的小数点位置差错，应以标出的合价为准，同时对单价予以修正。</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（5）当各子目的合价累计不等于总价时，应以各子目合价累计数为准，修正总价。</w:t>
      </w:r>
    </w:p>
    <w:p>
      <w:pPr>
        <w:pStyle w:val="34"/>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（6）按上述（2）-（5）规则对比选申请报价进行修正。</w:t>
      </w:r>
      <w:r>
        <w:rPr>
          <w:rFonts w:hint="eastAsia" w:ascii="宋体" w:hAnsi="宋体" w:cs="Arial"/>
          <w:color w:val="auto"/>
          <w:highlight w:val="none"/>
        </w:rPr>
        <w:t>评标价格及中标价均以修正后的报价为准。</w:t>
      </w:r>
      <w:r>
        <w:rPr>
          <w:rFonts w:hint="eastAsia" w:ascii="宋体" w:hAnsi="宋体"/>
          <w:color w:val="auto"/>
          <w:highlight w:val="none"/>
        </w:rPr>
        <w:t>如比选申请人不接受按以上规则确定的评标价格和中标价，则其比选申请将被拒绝。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7.9报价保留小数点后两位。</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7.10比选申请人只允许有一个报价，比选人不接受任何选择性报价，否则比选申请将被否决。</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19" w:name="_Toc101965682"/>
      <w:r>
        <w:rPr>
          <w:rFonts w:hint="eastAsia" w:ascii="宋体" w:hAnsi="宋体" w:eastAsia="宋体"/>
          <w:color w:val="auto"/>
          <w:sz w:val="24"/>
          <w:szCs w:val="24"/>
          <w:highlight w:val="none"/>
        </w:rPr>
        <w:t>八、评审规则</w:t>
      </w:r>
      <w:bookmarkEnd w:id="11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8.1本项目评标办法采用以下方式：</w:t>
      </w:r>
      <w:r>
        <w:rPr>
          <w:rFonts w:ascii="宋体" w:hAnsi="宋体"/>
          <w:color w:val="auto"/>
          <w:highlight w:val="none"/>
        </w:rPr>
        <w:t xml:space="preserve"> </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最低评审价法</w:t>
      </w:r>
      <w:r>
        <w:rPr>
          <w:rFonts w:hint="eastAsia" w:ascii="宋体" w:hAnsi="宋体"/>
          <w:color w:val="auto"/>
          <w:highlight w:val="none"/>
        </w:rPr>
        <w:t>。最低的有效报价作为推荐中选候选人依据。</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8.2比选申请人有下述情况之一的，其比选申请将被否决：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（1）不满足比选人资格要求的。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（2）未按本文件要求签字、盖章、打印、装订或封装的。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（3）比选申请实质性内容未按本文件规定格式填写且内容不齐全的。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（4）比选申请报价明细表出现负偏离的。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（5）在比选申请文件中出现虚假文件或资料的。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（6）评标价超出本项目控制价的。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（7）出现比选文件、法律法规规定的其他否决比选申请条件的。</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20" w:name="_Toc101965683"/>
      <w:r>
        <w:rPr>
          <w:rFonts w:hint="eastAsia" w:ascii="宋体" w:hAnsi="宋体" w:eastAsia="宋体"/>
          <w:color w:val="auto"/>
          <w:sz w:val="24"/>
          <w:szCs w:val="24"/>
          <w:highlight w:val="none"/>
        </w:rPr>
        <w:t>九、重新比选或不再比选</w:t>
      </w:r>
      <w:bookmarkEnd w:id="120"/>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9.1比选申请人</w:t>
      </w:r>
      <w:r>
        <w:rPr>
          <w:rFonts w:ascii="宋体" w:hAnsi="宋体"/>
          <w:b/>
          <w:color w:val="auto"/>
          <w:highlight w:val="none"/>
        </w:rPr>
        <w:t>出现下列特殊情况之一时，可重新</w:t>
      </w:r>
      <w:r>
        <w:rPr>
          <w:rFonts w:hint="eastAsia" w:ascii="宋体" w:hAnsi="宋体"/>
          <w:b/>
          <w:color w:val="auto"/>
          <w:highlight w:val="none"/>
        </w:rPr>
        <w:t>比选：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w:t>
      </w:r>
      <w:r>
        <w:rPr>
          <w:rFonts w:hint="eastAsia" w:ascii="宋体" w:hAnsi="宋体"/>
          <w:color w:val="auto"/>
          <w:highlight w:val="none"/>
        </w:rPr>
        <w:t>只剩余两家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（5）比选文件中规定的其他情况。</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9.2不再比选</w:t>
      </w:r>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21" w:name="_Toc101965684"/>
      <w:r>
        <w:rPr>
          <w:rFonts w:hint="eastAsia" w:ascii="宋体" w:hAnsi="宋体" w:eastAsia="宋体"/>
          <w:color w:val="auto"/>
          <w:sz w:val="24"/>
          <w:szCs w:val="24"/>
          <w:highlight w:val="none"/>
        </w:rPr>
        <w:t>九、比选申请有效期</w:t>
      </w:r>
      <w:bookmarkEnd w:id="12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自比选申请截止时间起90天。</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22" w:name="_Toc101965685"/>
      <w:r>
        <w:rPr>
          <w:rFonts w:hint="eastAsia" w:ascii="宋体" w:hAnsi="宋体" w:eastAsia="宋体"/>
          <w:color w:val="auto"/>
          <w:sz w:val="24"/>
          <w:szCs w:val="24"/>
          <w:highlight w:val="none"/>
        </w:rPr>
        <w:t>十、比选保证金</w:t>
      </w:r>
      <w:bookmarkEnd w:id="12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本项目不要求递交比选保证金。</w:t>
      </w:r>
    </w:p>
    <w:p>
      <w:pPr>
        <w:pStyle w:val="4"/>
        <w:spacing w:after="0" w:afterAutospacing="0" w:line="360" w:lineRule="auto"/>
        <w:ind w:left="0" w:right="0" w:firstLine="482" w:firstLineChars="200"/>
        <w:rPr>
          <w:rFonts w:ascii="宋体" w:hAnsi="宋体"/>
          <w:color w:val="auto"/>
          <w:highlight w:val="none"/>
        </w:rPr>
      </w:pPr>
      <w:bookmarkStart w:id="123" w:name="_Toc101965686"/>
      <w:r>
        <w:rPr>
          <w:rFonts w:hint="eastAsia" w:ascii="宋体" w:hAnsi="宋体" w:eastAsia="宋体"/>
          <w:color w:val="auto"/>
          <w:sz w:val="24"/>
          <w:szCs w:val="24"/>
          <w:highlight w:val="none"/>
        </w:rPr>
        <w:t>十一、履约担保</w:t>
      </w:r>
      <w:bookmarkEnd w:id="12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11.1履约担保的金额：</w:t>
      </w:r>
      <w:r>
        <w:rPr>
          <w:rFonts w:hint="eastAsia" w:ascii="宋体" w:hAnsi="宋体"/>
          <w:b/>
          <w:bCs/>
          <w:color w:val="auto"/>
          <w:highlight w:val="none"/>
        </w:rPr>
        <w:t>合同总价的</w:t>
      </w:r>
      <w:r>
        <w:rPr>
          <w:rFonts w:ascii="宋体" w:hAnsi="宋体"/>
          <w:b/>
          <w:bCs/>
          <w:color w:val="auto"/>
          <w:highlight w:val="none"/>
        </w:rPr>
        <w:t>5%</w:t>
      </w:r>
      <w:r>
        <w:rPr>
          <w:rFonts w:hint="eastAsia" w:ascii="宋体" w:hAnsi="宋体"/>
          <w:b/>
          <w:bCs/>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11.2履约担保的形式：转账或电汇或银行保函。</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11.3银行保函由中国境内各商业银行支行及其以上的银行开具的银行保函。</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11.4递交地点：南宁市青秀区云景路83号；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11.5提交履约担保的时间：应在合同签订前、且最迟应在中选通知书发出之日起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11.6若中选人未在规定时间内足额缴纳履约担保，比选人有权取消其中选资格。</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11.7履约保函应采用合同规定格式，其开具银行应为中国境内商业银行地市级以上支行（含地市级支行），并须是以甲方为受益人，见索即付无条件付款的、不可撤销的银行保函。</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24" w:name="_Toc101965687"/>
      <w:r>
        <w:rPr>
          <w:rFonts w:hint="eastAsia" w:ascii="宋体" w:hAnsi="宋体" w:eastAsia="宋体"/>
          <w:color w:val="auto"/>
          <w:sz w:val="24"/>
          <w:szCs w:val="24"/>
          <w:highlight w:val="none"/>
        </w:rPr>
        <w:t>十二、不良信用名单条款</w:t>
      </w:r>
      <w:bookmarkEnd w:id="12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采购及合同执行的任何阶段，如果比选人发现比选申请人存在下述行为之一的，比选人有权取消其比选申请/中选资格，且比选申请/中选无效。情节严重的，报同级或上级监管部门依法进行处理；同时将其列入招标人的不良信用名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（1）比选申请人在比选申请截止期后撤回其比选申请的。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（2）提供虚假材料谋取中选的。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（5）中选后无正当理由拒不与比选人签订合同的。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（6）未照比选、比选申请文件确定的事项签订合同的。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（7）将合同转包的。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（8）提供假冒伪劣产品的。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（9）擅自变更、中止或者终止合同的。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（11）中选</w:t>
      </w:r>
      <w:r>
        <w:rPr>
          <w:rFonts w:ascii="宋体" w:hAnsi="宋体"/>
          <w:color w:val="auto"/>
          <w:highlight w:val="none"/>
        </w:rPr>
        <w:t>人未按</w:t>
      </w:r>
      <w:r>
        <w:rPr>
          <w:rFonts w:hint="eastAsia" w:ascii="宋体" w:hAnsi="宋体"/>
          <w:color w:val="auto"/>
          <w:highlight w:val="none"/>
        </w:rPr>
        <w:t>比选申请须知</w:t>
      </w:r>
      <w:r>
        <w:rPr>
          <w:rFonts w:ascii="宋体" w:hAnsi="宋体"/>
          <w:color w:val="auto"/>
          <w:highlight w:val="none"/>
        </w:rPr>
        <w:t>要求</w:t>
      </w:r>
      <w:r>
        <w:rPr>
          <w:rFonts w:hint="eastAsia" w:ascii="宋体" w:hAnsi="宋体"/>
          <w:color w:val="auto"/>
          <w:highlight w:val="none"/>
        </w:rPr>
        <w:t>在比选申请阶段</w:t>
      </w:r>
      <w:r>
        <w:rPr>
          <w:rFonts w:ascii="宋体" w:hAnsi="宋体"/>
          <w:color w:val="auto"/>
          <w:highlight w:val="none"/>
        </w:rPr>
        <w:t>提出</w:t>
      </w:r>
      <w:r>
        <w:rPr>
          <w:rFonts w:hint="eastAsia" w:ascii="宋体" w:hAnsi="宋体"/>
          <w:color w:val="auto"/>
          <w:highlight w:val="none"/>
        </w:rPr>
        <w:t>异议或疑问</w:t>
      </w:r>
      <w:r>
        <w:rPr>
          <w:rFonts w:ascii="宋体" w:hAnsi="宋体"/>
          <w:color w:val="auto"/>
          <w:highlight w:val="none"/>
        </w:rPr>
        <w:t>，在成交后无法满足采购需求被认定为无效报价或主动放弃成交资格的。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（12）中选人在成交后无正当理由放弃成交资格的。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（13）比选文件、法律、法规规定的其他情形。</w:t>
      </w: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pageBreakBefore/>
        <w:spacing w:line="300" w:lineRule="exact"/>
        <w:ind w:left="950" w:right="-28" w:hanging="950" w:hangingChars="338"/>
        <w:jc w:val="center"/>
        <w:rPr>
          <w:rFonts w:ascii="宋体"/>
          <w:b/>
          <w:color w:val="auto"/>
          <w:sz w:val="28"/>
          <w:szCs w:val="30"/>
          <w:highlight w:val="none"/>
        </w:rPr>
      </w:pPr>
      <w:bookmarkStart w:id="125" w:name="_Toc32432"/>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00" w:lineRule="exact"/>
        <w:jc w:val="center"/>
        <w:rPr>
          <w:rFonts w:ascii="宋体"/>
          <w:b/>
          <w:color w:val="auto"/>
          <w:sz w:val="28"/>
          <w:szCs w:val="30"/>
          <w:highlight w:val="none"/>
        </w:rPr>
      </w:pPr>
    </w:p>
    <w:p>
      <w:pPr>
        <w:pStyle w:val="2"/>
        <w:ind w:right="-57" w:firstLine="0"/>
        <w:jc w:val="center"/>
        <w:outlineLvl w:val="0"/>
        <w:rPr>
          <w:rStyle w:val="39"/>
          <w:rFonts w:hAnsi="宋体"/>
          <w:color w:val="auto"/>
          <w:sz w:val="44"/>
          <w:szCs w:val="44"/>
          <w:highlight w:val="none"/>
        </w:rPr>
      </w:pPr>
      <w:bookmarkStart w:id="126" w:name="_Toc101965688"/>
      <w:r>
        <w:rPr>
          <w:rStyle w:val="39"/>
          <w:rFonts w:hint="eastAsia" w:hAnsi="宋体"/>
          <w:color w:val="auto"/>
          <w:sz w:val="44"/>
          <w:szCs w:val="44"/>
          <w:highlight w:val="none"/>
        </w:rPr>
        <w:t>第三章 合同条款及格式</w:t>
      </w:r>
      <w:bookmarkEnd w:id="125"/>
      <w:bookmarkEnd w:id="126"/>
    </w:p>
    <w:p>
      <w:pPr>
        <w:spacing w:after="120" w:afterLines="50"/>
        <w:jc w:val="center"/>
        <w:rPr>
          <w:b/>
          <w:color w:val="auto"/>
          <w:sz w:val="44"/>
          <w:szCs w:val="44"/>
          <w:highlight w:val="none"/>
        </w:rPr>
      </w:pPr>
    </w:p>
    <w:p>
      <w:pPr>
        <w:spacing w:after="120" w:afterLines="50"/>
        <w:jc w:val="center"/>
        <w:rPr>
          <w:b/>
          <w:color w:val="auto"/>
          <w:sz w:val="44"/>
          <w:szCs w:val="44"/>
          <w:highlight w:val="none"/>
        </w:rPr>
      </w:pPr>
    </w:p>
    <w:p>
      <w:pPr>
        <w:spacing w:after="120" w:afterLines="50"/>
        <w:ind w:right="448"/>
        <w:jc w:val="right"/>
        <w:rPr>
          <w:rFonts w:ascii="宋体" w:hAnsi="宋体"/>
          <w:color w:val="auto"/>
          <w:sz w:val="30"/>
          <w:szCs w:val="30"/>
          <w:highlight w:val="none"/>
        </w:rPr>
      </w:pPr>
      <w:bookmarkStart w:id="127" w:name="_Toc286386830"/>
      <w:bookmarkStart w:id="128" w:name="_Toc114052336"/>
      <w:bookmarkStart w:id="129" w:name="_Toc114052410"/>
    </w:p>
    <w:p>
      <w:pPr>
        <w:pageBreakBefore/>
        <w:spacing w:after="120" w:afterLines="50" w:afterAutospacing="0"/>
        <w:ind w:left="1014" w:right="448" w:hanging="1014" w:hangingChars="338"/>
        <w:jc w:val="right"/>
        <w:rPr>
          <w:rFonts w:ascii="宋体" w:hAnsi="宋体"/>
          <w:color w:val="auto"/>
          <w:sz w:val="30"/>
          <w:szCs w:val="30"/>
          <w:highlight w:val="none"/>
        </w:rPr>
      </w:pPr>
    </w:p>
    <w:p>
      <w:pPr>
        <w:spacing w:after="120" w:afterLines="50"/>
        <w:ind w:right="448"/>
        <w:jc w:val="right"/>
        <w:rPr>
          <w:rFonts w:ascii="宋体" w:hAnsi="宋体"/>
          <w:color w:val="auto"/>
          <w:sz w:val="30"/>
          <w:szCs w:val="30"/>
          <w:highlight w:val="none"/>
        </w:rPr>
      </w:pPr>
      <w:r>
        <w:rPr>
          <w:rFonts w:hint="eastAsia" w:ascii="宋体" w:hAnsi="宋体"/>
          <w:color w:val="auto"/>
          <w:sz w:val="30"/>
          <w:szCs w:val="30"/>
          <w:highlight w:val="none"/>
        </w:rPr>
        <w:t>【正本】</w:t>
      </w:r>
    </w:p>
    <w:bookmarkEnd w:id="127"/>
    <w:bookmarkEnd w:id="128"/>
    <w:bookmarkEnd w:id="129"/>
    <w:p>
      <w:pPr>
        <w:snapToGrid w:val="0"/>
        <w:spacing w:before="0" w:line="800" w:lineRule="exact"/>
        <w:ind w:left="1493" w:right="-28" w:hanging="1493" w:hangingChars="338"/>
        <w:jc w:val="center"/>
        <w:rPr>
          <w:rFonts w:ascii="楷体_GB2312" w:eastAsia="楷体_GB2312"/>
          <w:b/>
          <w:color w:val="auto"/>
          <w:sz w:val="44"/>
          <w:szCs w:val="44"/>
          <w:highlight w:val="none"/>
        </w:rPr>
      </w:pPr>
      <w:r>
        <w:rPr>
          <w:rFonts w:hint="eastAsia"/>
          <w:b/>
          <w:color w:val="auto"/>
          <w:sz w:val="44"/>
          <w:szCs w:val="44"/>
          <w:highlight w:val="none"/>
        </w:rPr>
        <w:t>南宁轨道交通运营有限公司2023年办公家具采购项目</w:t>
      </w:r>
    </w:p>
    <w:tbl>
      <w:tblPr>
        <w:tblStyle w:val="2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项目编号：</w:t>
            </w:r>
          </w:p>
        </w:tc>
        <w:tc>
          <w:tcPr>
            <w:tcW w:w="4761" w:type="dxa"/>
          </w:tcPr>
          <w:p>
            <w:pPr>
              <w:spacing w:line="300" w:lineRule="exact"/>
              <w:jc w:val="left"/>
              <w:rPr>
                <w:rFonts w:ascii="宋体" w:hAnsi="宋体"/>
                <w:color w:val="auto"/>
                <w:sz w:val="28"/>
                <w:szCs w:val="30"/>
                <w:highlight w:val="none"/>
              </w:rPr>
            </w:pPr>
            <w:r>
              <w:rPr>
                <w:rFonts w:hint="eastAsia" w:ascii="宋体" w:hAnsi="宋体"/>
                <w:color w:val="auto"/>
                <w:sz w:val="28"/>
                <w:szCs w:val="30"/>
                <w:highlight w:val="none"/>
              </w:rPr>
              <w:t>202305170008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合同编号：</w:t>
            </w:r>
          </w:p>
        </w:tc>
        <w:tc>
          <w:tcPr>
            <w:tcW w:w="4761" w:type="dxa"/>
          </w:tcPr>
          <w:p>
            <w:pPr>
              <w:spacing w:line="300" w:lineRule="exact"/>
              <w:jc w:val="left"/>
              <w:rPr>
                <w:rFonts w:ascii="宋体" w:hAnsi="宋体"/>
                <w:color w:val="auto"/>
                <w:sz w:val="28"/>
                <w:szCs w:val="30"/>
                <w:highlight w:val="none"/>
              </w:rPr>
            </w:pPr>
          </w:p>
        </w:tc>
      </w:tr>
    </w:tbl>
    <w:p>
      <w:pPr>
        <w:spacing w:line="800" w:lineRule="exact"/>
        <w:ind w:left="2443" w:right="-28" w:hanging="2443" w:hangingChars="338"/>
        <w:jc w:val="center"/>
        <w:rPr>
          <w:rFonts w:ascii="楷体_GB2312" w:eastAsia="楷体_GB2312"/>
          <w:b/>
          <w:color w:val="auto"/>
          <w:sz w:val="72"/>
          <w:szCs w:val="52"/>
          <w:highlight w:val="none"/>
        </w:rPr>
      </w:pPr>
      <w:r>
        <w:rPr>
          <w:rFonts w:hint="eastAsia"/>
          <w:b/>
          <w:color w:val="auto"/>
          <w:sz w:val="72"/>
          <w:szCs w:val="52"/>
          <w:highlight w:val="none"/>
        </w:rPr>
        <w:t>合</w:t>
      </w:r>
    </w:p>
    <w:p>
      <w:pPr>
        <w:spacing w:line="800" w:lineRule="exact"/>
        <w:ind w:left="2443" w:right="-28" w:hanging="2443" w:hangingChars="338"/>
        <w:jc w:val="center"/>
        <w:rPr>
          <w:rFonts w:ascii="宋体" w:hAnsi="宋体"/>
          <w:b/>
          <w:color w:val="auto"/>
          <w:sz w:val="72"/>
          <w:szCs w:val="52"/>
          <w:highlight w:val="none"/>
        </w:rPr>
      </w:pPr>
      <w:r>
        <w:rPr>
          <w:rFonts w:hint="eastAsia"/>
          <w:b/>
          <w:color w:val="auto"/>
          <w:sz w:val="72"/>
          <w:szCs w:val="52"/>
          <w:highlight w:val="none"/>
        </w:rPr>
        <w:t>同</w:t>
      </w:r>
    </w:p>
    <w:p>
      <w:pPr>
        <w:spacing w:line="800" w:lineRule="exact"/>
        <w:ind w:left="2443" w:right="-28" w:hanging="2443" w:hangingChars="338"/>
        <w:jc w:val="center"/>
        <w:rPr>
          <w:b/>
          <w:color w:val="auto"/>
          <w:sz w:val="72"/>
          <w:szCs w:val="52"/>
          <w:highlight w:val="none"/>
        </w:rPr>
      </w:pPr>
      <w:r>
        <w:rPr>
          <w:rFonts w:hint="eastAsia"/>
          <w:b/>
          <w:color w:val="auto"/>
          <w:sz w:val="72"/>
          <w:szCs w:val="52"/>
          <w:highlight w:val="none"/>
        </w:rPr>
        <w:t>书</w:t>
      </w:r>
    </w:p>
    <w:p>
      <w:pPr>
        <w:jc w:val="center"/>
        <w:rPr>
          <w:rFonts w:ascii="宋体" w:hAnsi="宋体"/>
          <w:b/>
          <w:color w:val="auto"/>
          <w:sz w:val="52"/>
          <w:highlight w:val="none"/>
        </w:rPr>
      </w:pPr>
      <w:r>
        <w:rPr>
          <w:rFonts w:hint="eastAsia" w:ascii="宋体" w:hAnsi="宋体"/>
          <w:b/>
          <w:color w:val="auto"/>
          <w:sz w:val="52"/>
          <w:highlight w:val="none"/>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color w:val="auto"/>
          <w:sz w:val="28"/>
          <w:szCs w:val="28"/>
          <w:highlight w:val="none"/>
        </w:rPr>
      </w:pPr>
      <w:r>
        <w:rPr>
          <w:rFonts w:hint="eastAsia" w:ascii="宋体" w:hAnsi="宋体"/>
          <w:b/>
          <w:color w:val="auto"/>
          <w:sz w:val="28"/>
          <w:szCs w:val="28"/>
          <w:highlight w:val="none"/>
        </w:rPr>
        <w:t>甲    方：</w:t>
      </w:r>
      <w:r>
        <w:rPr>
          <w:rFonts w:hint="eastAsia"/>
          <w:color w:val="auto"/>
          <w:sz w:val="28"/>
          <w:szCs w:val="28"/>
          <w:highlight w:val="none"/>
        </w:rPr>
        <w:t>南宁轨道交通运营有限公司</w:t>
      </w:r>
    </w:p>
    <w:p>
      <w:pPr>
        <w:snapToGrid w:val="0"/>
        <w:spacing w:before="0" w:line="400" w:lineRule="exact"/>
        <w:ind w:firstLine="1405" w:firstLineChars="500"/>
        <w:rPr>
          <w:color w:val="auto"/>
          <w:sz w:val="28"/>
          <w:szCs w:val="28"/>
          <w:highlight w:val="none"/>
        </w:rPr>
      </w:pPr>
      <w:r>
        <w:rPr>
          <w:rFonts w:hint="eastAsia" w:ascii="宋体" w:hAnsi="宋体"/>
          <w:b/>
          <w:color w:val="auto"/>
          <w:sz w:val="28"/>
          <w:szCs w:val="28"/>
          <w:highlight w:val="none"/>
        </w:rPr>
        <w:t>乙    方：</w:t>
      </w:r>
      <w:r>
        <w:rPr>
          <w:color w:val="auto"/>
          <w:sz w:val="28"/>
          <w:szCs w:val="28"/>
          <w:highlight w:val="none"/>
        </w:rPr>
        <w:t xml:space="preserve"> </w:t>
      </w: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签约日期：</w:t>
      </w:r>
      <w:r>
        <w:rPr>
          <w:rFonts w:hint="eastAsia" w:ascii="宋体" w:hAnsi="宋体"/>
          <w:b/>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u w:val="single"/>
        </w:rPr>
        <w:t>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napToGrid w:val="0"/>
        <w:spacing w:before="0" w:line="400" w:lineRule="exact"/>
        <w:ind w:right="-86" w:rightChars="-41" w:firstLine="1405" w:firstLineChars="500"/>
        <w:rPr>
          <w:rFonts w:ascii="宋体" w:hAnsi="宋体"/>
          <w:b/>
          <w:bCs/>
          <w:color w:val="auto"/>
          <w:sz w:val="28"/>
          <w:szCs w:val="28"/>
          <w:highlight w:val="none"/>
        </w:rPr>
      </w:pPr>
      <w:r>
        <w:rPr>
          <w:rFonts w:hint="eastAsia" w:ascii="宋体" w:hAnsi="宋体"/>
          <w:b/>
          <w:color w:val="auto"/>
          <w:sz w:val="28"/>
          <w:szCs w:val="28"/>
          <w:highlight w:val="none"/>
        </w:rPr>
        <w:t>签约</w:t>
      </w:r>
      <w:r>
        <w:rPr>
          <w:rFonts w:hint="eastAsia" w:ascii="宋体" w:hAnsi="宋体"/>
          <w:b/>
          <w:bCs/>
          <w:color w:val="auto"/>
          <w:sz w:val="28"/>
          <w:szCs w:val="28"/>
          <w:highlight w:val="none"/>
        </w:rPr>
        <w:t>地点：</w:t>
      </w:r>
      <w:r>
        <w:rPr>
          <w:rFonts w:ascii="宋体" w:hAnsi="宋体"/>
          <w:b/>
          <w:color w:val="auto"/>
          <w:sz w:val="28"/>
          <w:szCs w:val="28"/>
          <w:highlight w:val="none"/>
        </w:rPr>
        <w:t xml:space="preserve"> </w:t>
      </w:r>
      <w:r>
        <w:rPr>
          <w:rFonts w:hint="eastAsia" w:ascii="宋体" w:hAnsi="宋体"/>
          <w:color w:val="auto"/>
          <w:sz w:val="28"/>
          <w:szCs w:val="28"/>
          <w:highlight w:val="none"/>
        </w:rPr>
        <w:t>广西壮族自治区南宁市</w:t>
      </w:r>
      <w:bookmarkStart w:id="130" w:name="_Toc369787000"/>
      <w:bookmarkEnd w:id="130"/>
    </w:p>
    <w:p>
      <w:pPr>
        <w:pStyle w:val="22"/>
        <w:pageBreakBefore/>
        <w:tabs>
          <w:tab w:val="right" w:leader="dot" w:pos="9069"/>
        </w:tabs>
        <w:snapToGrid w:val="0"/>
        <w:spacing w:line="240" w:lineRule="auto"/>
        <w:ind w:right="-28"/>
        <w:jc w:val="center"/>
        <w:rPr>
          <w:rFonts w:ascii="宋体" w:hAnsi="宋体"/>
          <w:b/>
          <w:bCs/>
          <w:color w:val="auto"/>
          <w:sz w:val="28"/>
          <w:szCs w:val="28"/>
          <w:highlight w:val="none"/>
        </w:rPr>
      </w:pPr>
      <w:r>
        <w:rPr>
          <w:rFonts w:hint="eastAsia" w:ascii="宋体" w:hAnsi="宋体"/>
          <w:b/>
          <w:bCs/>
          <w:color w:val="auto"/>
          <w:sz w:val="28"/>
          <w:szCs w:val="28"/>
          <w:highlight w:val="none"/>
        </w:rPr>
        <w:t>合同目录</w:t>
      </w:r>
    </w:p>
    <w:p>
      <w:pPr>
        <w:pStyle w:val="22"/>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"_Toc7011" </w:instrText>
      </w:r>
      <w:r>
        <w:rPr>
          <w:color w:val="auto"/>
          <w:highlight w:val="none"/>
        </w:rPr>
        <w:fldChar w:fldCharType="separate"/>
      </w:r>
      <w:r>
        <w:rPr>
          <w:rFonts w:hint="eastAsia" w:ascii="宋体" w:hAnsi="宋体"/>
          <w:b/>
          <w:bCs/>
          <w:color w:val="auto"/>
          <w:szCs w:val="24"/>
          <w:highlight w:val="none"/>
        </w:rPr>
        <w:t>第一部分 合同协议书</w:t>
      </w:r>
      <w:r>
        <w:rPr>
          <w:b/>
          <w:bCs/>
          <w:color w:val="auto"/>
          <w:highlight w:val="none"/>
        </w:rPr>
        <w:tab/>
      </w:r>
      <w:r>
        <w:rPr>
          <w:b/>
          <w:bCs/>
          <w:color w:val="auto"/>
          <w:highlight w:val="none"/>
        </w:rPr>
        <w:fldChar w:fldCharType="end"/>
      </w:r>
    </w:p>
    <w:p>
      <w:pPr>
        <w:pStyle w:val="22"/>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"_Toc29350" </w:instrText>
      </w:r>
      <w:r>
        <w:rPr>
          <w:color w:val="auto"/>
          <w:highlight w:val="none"/>
        </w:rPr>
        <w:fldChar w:fldCharType="separate"/>
      </w:r>
      <w:r>
        <w:rPr>
          <w:b/>
          <w:bCs/>
          <w:color w:val="auto"/>
          <w:highlight w:val="none"/>
        </w:rPr>
        <w:t>第二部分</w:t>
      </w:r>
      <w:r>
        <w:rPr>
          <w:rFonts w:hint="eastAsia"/>
          <w:b/>
          <w:bCs/>
          <w:color w:val="auto"/>
          <w:highlight w:val="none"/>
        </w:rPr>
        <w:t xml:space="preserve"> 中标通知书</w:t>
      </w:r>
      <w:r>
        <w:rPr>
          <w:b/>
          <w:bCs/>
          <w:color w:val="auto"/>
          <w:highlight w:val="none"/>
        </w:rPr>
        <w:tab/>
      </w:r>
      <w:r>
        <w:rPr>
          <w:b/>
          <w:bCs/>
          <w:color w:val="auto"/>
          <w:highlight w:val="none"/>
        </w:rPr>
        <w:fldChar w:fldCharType="end"/>
      </w:r>
    </w:p>
    <w:p>
      <w:pPr>
        <w:pStyle w:val="22"/>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"_Toc9690" </w:instrText>
      </w:r>
      <w:r>
        <w:rPr>
          <w:color w:val="auto"/>
          <w:highlight w:val="none"/>
        </w:rPr>
        <w:fldChar w:fldCharType="separate"/>
      </w:r>
      <w:r>
        <w:rPr>
          <w:b/>
          <w:bCs/>
          <w:color w:val="auto"/>
          <w:highlight w:val="none"/>
        </w:rPr>
        <w:t>第</w:t>
      </w:r>
      <w:r>
        <w:rPr>
          <w:rFonts w:hint="eastAsia"/>
          <w:b/>
          <w:bCs/>
          <w:color w:val="auto"/>
          <w:highlight w:val="none"/>
        </w:rPr>
        <w:t>三</w:t>
      </w:r>
      <w:r>
        <w:rPr>
          <w:b/>
          <w:bCs/>
          <w:color w:val="auto"/>
          <w:highlight w:val="none"/>
        </w:rPr>
        <w:t>部分</w:t>
      </w:r>
      <w:r>
        <w:rPr>
          <w:rFonts w:hint="eastAsia"/>
          <w:b/>
          <w:bCs/>
          <w:color w:val="auto"/>
          <w:highlight w:val="none"/>
        </w:rPr>
        <w:t xml:space="preserve"> 价格组成文件</w:t>
      </w:r>
      <w:r>
        <w:rPr>
          <w:b/>
          <w:bCs/>
          <w:color w:val="auto"/>
          <w:highlight w:val="none"/>
        </w:rPr>
        <w:tab/>
      </w:r>
      <w:r>
        <w:rPr>
          <w:b/>
          <w:bCs/>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"_Toc22195" </w:instrText>
      </w:r>
      <w:r>
        <w:rPr>
          <w:color w:val="auto"/>
          <w:highlight w:val="none"/>
        </w:rPr>
        <w:fldChar w:fldCharType="separate"/>
      </w:r>
      <w:r>
        <w:rPr>
          <w:rFonts w:ascii="宋体" w:hAnsi="宋体"/>
          <w:color w:val="auto"/>
          <w:szCs w:val="24"/>
          <w:highlight w:val="none"/>
        </w:rPr>
        <w:t>1</w:t>
      </w:r>
      <w:r>
        <w:rPr>
          <w:rFonts w:hint="eastAsia" w:ascii="宋体" w:hAnsi="宋体"/>
          <w:color w:val="auto"/>
          <w:szCs w:val="24"/>
          <w:highlight w:val="none"/>
        </w:rPr>
        <w:t>.税率确认函</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"_Toc17532" </w:instrText>
      </w:r>
      <w:r>
        <w:rPr>
          <w:color w:val="auto"/>
          <w:highlight w:val="none"/>
        </w:rPr>
        <w:fldChar w:fldCharType="separate"/>
      </w:r>
      <w:r>
        <w:rPr>
          <w:rFonts w:hint="eastAsia" w:ascii="宋体" w:hAnsi="宋体"/>
          <w:color w:val="auto"/>
          <w:szCs w:val="24"/>
          <w:highlight w:val="none"/>
        </w:rPr>
        <w:t>2.中标文件分项报价表</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rFonts w:ascii="宋体" w:hAnsi="宋体"/>
          <w:color w:val="auto"/>
          <w:highlight w:val="none"/>
        </w:rPr>
      </w:pPr>
      <w:r>
        <w:rPr>
          <w:color w:val="auto"/>
          <w:highlight w:val="none"/>
        </w:rPr>
        <w:fldChar w:fldCharType="begin"/>
      </w:r>
      <w:r>
        <w:rPr>
          <w:color w:val="auto"/>
          <w:highlight w:val="none"/>
        </w:rPr>
        <w:instrText xml:space="preserve"> HYPERLINK \l "_Toc6933" </w:instrText>
      </w:r>
      <w:r>
        <w:rPr>
          <w:color w:val="auto"/>
          <w:highlight w:val="none"/>
        </w:rPr>
        <w:fldChar w:fldCharType="separate"/>
      </w:r>
      <w:r>
        <w:rPr>
          <w:rFonts w:hint="eastAsia" w:ascii="宋体" w:hAnsi="宋体"/>
          <w:color w:val="auto"/>
          <w:szCs w:val="24"/>
          <w:highlight w:val="none"/>
        </w:rPr>
        <w:t>3.含税分项报价汇总表</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"_Toc6933" </w:instrText>
      </w:r>
      <w:r>
        <w:rPr>
          <w:color w:val="auto"/>
          <w:highlight w:val="none"/>
        </w:rPr>
        <w:fldChar w:fldCharType="separate"/>
      </w:r>
      <w:r>
        <w:rPr>
          <w:rFonts w:hint="eastAsia" w:ascii="宋体" w:hAnsi="宋体" w:cs="宋体"/>
          <w:color w:val="auto"/>
          <w:szCs w:val="24"/>
          <w:highlight w:val="none"/>
        </w:rPr>
        <w:t>4.含税分项分线报价表</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"_Toc5274" </w:instrText>
      </w:r>
      <w:r>
        <w:rPr>
          <w:color w:val="auto"/>
          <w:highlight w:val="none"/>
        </w:rPr>
        <w:fldChar w:fldCharType="separate"/>
      </w:r>
      <w:r>
        <w:rPr>
          <w:rFonts w:hint="eastAsia" w:ascii="宋体" w:hAnsi="宋体" w:cs="宋体"/>
          <w:color w:val="auto"/>
          <w:szCs w:val="24"/>
          <w:highlight w:val="none"/>
        </w:rPr>
        <w:t>附件3.1 含税分项报价汇总表</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"_Toc22670" </w:instrText>
      </w:r>
      <w:r>
        <w:rPr>
          <w:color w:val="auto"/>
          <w:highlight w:val="none"/>
        </w:rPr>
        <w:fldChar w:fldCharType="separate"/>
      </w:r>
      <w:r>
        <w:rPr>
          <w:rFonts w:hint="eastAsia" w:ascii="宋体" w:hAnsi="宋体" w:cs="宋体"/>
          <w:color w:val="auto"/>
          <w:szCs w:val="24"/>
          <w:highlight w:val="none"/>
        </w:rPr>
        <w:t>附件3.2 含税分项分线报价表</w:t>
      </w:r>
      <w:r>
        <w:rPr>
          <w:rFonts w:hint="eastAsia" w:ascii="宋体" w:hAnsi="宋体" w:cs="宋体"/>
          <w:color w:val="auto"/>
          <w:highlight w:val="none"/>
        </w:rPr>
        <w:tab/>
      </w:r>
      <w:r>
        <w:rPr>
          <w:rFonts w:hint="eastAsia" w:ascii="宋体" w:hAnsi="宋体" w:cs="宋体"/>
          <w:color w:val="auto"/>
          <w:highlight w:val="none"/>
        </w:rPr>
        <w:fldChar w:fldCharType="end"/>
      </w:r>
    </w:p>
    <w:p>
      <w:pPr>
        <w:pStyle w:val="22"/>
        <w:tabs>
          <w:tab w:val="right" w:leader="dot" w:pos="9069"/>
        </w:tabs>
        <w:snapToGrid w:val="0"/>
        <w:spacing w:line="240" w:lineRule="auto"/>
        <w:ind w:right="-28"/>
        <w:rPr>
          <w:rFonts w:ascii="宋体" w:hAnsi="宋体" w:cs="宋体"/>
          <w:b/>
          <w:bCs/>
          <w:color w:val="auto"/>
          <w:highlight w:val="none"/>
        </w:rPr>
      </w:pPr>
      <w:r>
        <w:rPr>
          <w:color w:val="auto"/>
          <w:highlight w:val="none"/>
        </w:rPr>
        <w:fldChar w:fldCharType="begin"/>
      </w:r>
      <w:r>
        <w:rPr>
          <w:color w:val="auto"/>
          <w:highlight w:val="none"/>
        </w:rPr>
        <w:instrText xml:space="preserve"> HYPERLINK \l "_Toc16859" </w:instrText>
      </w:r>
      <w:r>
        <w:rPr>
          <w:color w:val="auto"/>
          <w:highlight w:val="none"/>
        </w:rPr>
        <w:fldChar w:fldCharType="separate"/>
      </w:r>
      <w:r>
        <w:rPr>
          <w:rFonts w:hint="eastAsia" w:ascii="宋体" w:hAnsi="宋体" w:cs="宋体"/>
          <w:b/>
          <w:bCs/>
          <w:color w:val="auto"/>
          <w:szCs w:val="24"/>
          <w:highlight w:val="none"/>
        </w:rPr>
        <w:t>第四部分 合同条款</w:t>
      </w:r>
      <w:r>
        <w:rPr>
          <w:rFonts w:hint="eastAsia" w:ascii="宋体" w:hAnsi="宋体" w:cs="宋体"/>
          <w:b/>
          <w:bCs/>
          <w:color w:val="auto"/>
          <w:highlight w:val="none"/>
        </w:rPr>
        <w:tab/>
      </w:r>
      <w:r>
        <w:rPr>
          <w:rFonts w:hint="eastAsia" w:ascii="宋体" w:hAnsi="宋体" w:cs="宋体"/>
          <w:b/>
          <w:bCs/>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"_Toc21094" </w:instrText>
      </w:r>
      <w:r>
        <w:rPr>
          <w:color w:val="auto"/>
          <w:highlight w:val="none"/>
        </w:rPr>
        <w:fldChar w:fldCharType="separate"/>
      </w:r>
      <w:r>
        <w:rPr>
          <w:rFonts w:hint="eastAsia" w:ascii="宋体" w:hAnsi="宋体" w:cs="宋体"/>
          <w:color w:val="auto"/>
          <w:highlight w:val="none"/>
        </w:rPr>
        <w:t>1.定义及解释</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"_Toc14242" </w:instrText>
      </w:r>
      <w:r>
        <w:rPr>
          <w:color w:val="auto"/>
          <w:highlight w:val="none"/>
        </w:rPr>
        <w:fldChar w:fldCharType="separate"/>
      </w:r>
      <w:r>
        <w:rPr>
          <w:rFonts w:hint="eastAsia" w:ascii="宋体" w:hAnsi="宋体" w:cs="宋体"/>
          <w:color w:val="auto"/>
          <w:highlight w:val="none"/>
        </w:rPr>
        <w:t>2.适用性</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"_Toc3784" </w:instrText>
      </w:r>
      <w:r>
        <w:rPr>
          <w:color w:val="auto"/>
          <w:highlight w:val="none"/>
        </w:rPr>
        <w:fldChar w:fldCharType="separate"/>
      </w:r>
      <w:r>
        <w:rPr>
          <w:rFonts w:hint="eastAsia" w:ascii="宋体" w:hAnsi="宋体" w:cs="宋体"/>
          <w:color w:val="auto"/>
          <w:highlight w:val="none"/>
        </w:rPr>
        <w:t>3.来源地</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"_Toc21254" </w:instrText>
      </w:r>
      <w:r>
        <w:rPr>
          <w:color w:val="auto"/>
          <w:highlight w:val="none"/>
        </w:rPr>
        <w:fldChar w:fldCharType="separate"/>
      </w:r>
      <w:r>
        <w:rPr>
          <w:rFonts w:hint="eastAsia" w:ascii="宋体" w:hAnsi="宋体" w:cs="宋体"/>
          <w:color w:val="auto"/>
          <w:highlight w:val="none"/>
        </w:rPr>
        <w:t>4.标准</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"_Toc14774" </w:instrText>
      </w:r>
      <w:r>
        <w:rPr>
          <w:color w:val="auto"/>
          <w:highlight w:val="none"/>
        </w:rPr>
        <w:fldChar w:fldCharType="separate"/>
      </w:r>
      <w:r>
        <w:rPr>
          <w:rFonts w:hint="eastAsia" w:ascii="宋体" w:hAnsi="宋体" w:cs="宋体"/>
          <w:color w:val="auto"/>
          <w:highlight w:val="none"/>
        </w:rPr>
        <w:t>5.合同文件、资料及使用</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"_Toc10985" </w:instrText>
      </w:r>
      <w:r>
        <w:rPr>
          <w:color w:val="auto"/>
          <w:highlight w:val="none"/>
        </w:rPr>
        <w:fldChar w:fldCharType="separate"/>
      </w:r>
      <w:r>
        <w:rPr>
          <w:rFonts w:hint="eastAsia" w:ascii="宋体" w:hAnsi="宋体" w:cs="宋体"/>
          <w:color w:val="auto"/>
          <w:highlight w:val="none"/>
        </w:rPr>
        <w:t>6.知识产权</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"_Toc10985" </w:instrText>
      </w:r>
      <w:r>
        <w:rPr>
          <w:color w:val="auto"/>
          <w:highlight w:val="none"/>
        </w:rPr>
        <w:fldChar w:fldCharType="separate"/>
      </w:r>
      <w:r>
        <w:rPr>
          <w:rFonts w:hint="eastAsia" w:ascii="宋体" w:hAnsi="宋体" w:cs="宋体"/>
          <w:color w:val="auto"/>
          <w:highlight w:val="none"/>
        </w:rPr>
        <w:t>7.价格</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"_Toc3133" </w:instrText>
      </w:r>
      <w:r>
        <w:rPr>
          <w:color w:val="auto"/>
          <w:highlight w:val="none"/>
        </w:rPr>
        <w:fldChar w:fldCharType="separate"/>
      </w:r>
      <w:r>
        <w:rPr>
          <w:rFonts w:hint="eastAsia" w:ascii="宋体" w:hAnsi="宋体" w:cs="宋体"/>
          <w:color w:val="auto"/>
          <w:highlight w:val="none"/>
        </w:rPr>
        <w:t>8.合同有效期</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"_Toc7020" </w:instrText>
      </w:r>
      <w:r>
        <w:rPr>
          <w:color w:val="auto"/>
          <w:highlight w:val="none"/>
        </w:rPr>
        <w:fldChar w:fldCharType="separate"/>
      </w:r>
      <w:r>
        <w:rPr>
          <w:rFonts w:hint="eastAsia" w:ascii="宋体" w:hAnsi="宋体" w:cs="宋体"/>
          <w:color w:val="auto"/>
          <w:highlight w:val="none"/>
        </w:rPr>
        <w:t>9.付款</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"_Toc7816" </w:instrText>
      </w:r>
      <w:r>
        <w:rPr>
          <w:color w:val="auto"/>
          <w:highlight w:val="none"/>
        </w:rPr>
        <w:fldChar w:fldCharType="separate"/>
      </w:r>
      <w:r>
        <w:rPr>
          <w:rFonts w:hint="eastAsia" w:ascii="宋体" w:hAnsi="宋体" w:cs="宋体"/>
          <w:color w:val="auto"/>
          <w:highlight w:val="none"/>
        </w:rPr>
        <w:t>10.履约担保</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"_Toc16282" </w:instrText>
      </w:r>
      <w:r>
        <w:rPr>
          <w:color w:val="auto"/>
          <w:highlight w:val="none"/>
        </w:rPr>
        <w:fldChar w:fldCharType="separate"/>
      </w:r>
      <w:r>
        <w:rPr>
          <w:rFonts w:hint="eastAsia" w:ascii="宋体" w:hAnsi="宋体" w:cs="宋体"/>
          <w:color w:val="auto"/>
          <w:highlight w:val="none"/>
        </w:rPr>
        <w:t>11.交货和单据</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"_Toc5045" </w:instrText>
      </w:r>
      <w:r>
        <w:rPr>
          <w:color w:val="auto"/>
          <w:highlight w:val="none"/>
        </w:rPr>
        <w:fldChar w:fldCharType="separate"/>
      </w:r>
      <w:r>
        <w:rPr>
          <w:rFonts w:hint="eastAsia" w:ascii="宋体" w:hAnsi="宋体" w:cs="宋体"/>
          <w:color w:val="auto"/>
          <w:highlight w:val="none"/>
        </w:rPr>
        <w:t>12.违约责任</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"_Toc25037" </w:instrText>
      </w:r>
      <w:r>
        <w:rPr>
          <w:color w:val="auto"/>
          <w:highlight w:val="none"/>
        </w:rPr>
        <w:fldChar w:fldCharType="separate"/>
      </w:r>
      <w:r>
        <w:rPr>
          <w:rFonts w:hint="eastAsia" w:ascii="宋体" w:hAnsi="宋体" w:cs="宋体"/>
          <w:color w:val="auto"/>
          <w:highlight w:val="none"/>
        </w:rPr>
        <w:t>25.索赔与赔偿</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"_Toc27831" </w:instrText>
      </w:r>
      <w:r>
        <w:rPr>
          <w:color w:val="auto"/>
          <w:highlight w:val="none"/>
        </w:rPr>
        <w:fldChar w:fldCharType="separate"/>
      </w:r>
      <w:r>
        <w:rPr>
          <w:rFonts w:hint="eastAsia" w:ascii="宋体" w:hAnsi="宋体" w:cs="宋体"/>
          <w:color w:val="auto"/>
          <w:highlight w:val="none"/>
        </w:rPr>
        <w:t>19.合同转让、分包和中止</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"_Toc12056" </w:instrText>
      </w:r>
      <w:r>
        <w:rPr>
          <w:color w:val="auto"/>
          <w:highlight w:val="none"/>
        </w:rPr>
        <w:fldChar w:fldCharType="separate"/>
      </w:r>
      <w:r>
        <w:rPr>
          <w:rFonts w:hint="eastAsia" w:ascii="宋体" w:hAnsi="宋体" w:cs="宋体"/>
          <w:color w:val="auto"/>
          <w:highlight w:val="none"/>
        </w:rPr>
        <w:t>26.合同终止</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"_Toc13964" </w:instrText>
      </w:r>
      <w:r>
        <w:rPr>
          <w:color w:val="auto"/>
          <w:highlight w:val="none"/>
        </w:rPr>
        <w:fldChar w:fldCharType="separate"/>
      </w:r>
      <w:r>
        <w:rPr>
          <w:rFonts w:hint="eastAsia" w:ascii="宋体" w:hAnsi="宋体" w:cs="宋体"/>
          <w:color w:val="auto"/>
          <w:highlight w:val="none"/>
        </w:rPr>
        <w:t>20.不可抗力</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"_Toc864" </w:instrText>
      </w:r>
      <w:r>
        <w:rPr>
          <w:color w:val="auto"/>
          <w:highlight w:val="none"/>
        </w:rPr>
        <w:fldChar w:fldCharType="separate"/>
      </w:r>
      <w:r>
        <w:rPr>
          <w:rFonts w:hint="eastAsia" w:ascii="宋体" w:hAnsi="宋体" w:cs="宋体"/>
          <w:color w:val="auto"/>
          <w:highlight w:val="none"/>
        </w:rPr>
        <w:t>22.通知</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"_Toc1293" </w:instrText>
      </w:r>
      <w:r>
        <w:rPr>
          <w:color w:val="auto"/>
          <w:highlight w:val="none"/>
        </w:rPr>
        <w:fldChar w:fldCharType="separate"/>
      </w:r>
      <w:r>
        <w:rPr>
          <w:rFonts w:hint="eastAsia" w:ascii="宋体" w:hAnsi="宋体" w:cs="宋体"/>
          <w:color w:val="auto"/>
          <w:highlight w:val="none"/>
        </w:rPr>
        <w:t>27.争端的解决</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"_Toc30322" </w:instrText>
      </w:r>
      <w:r>
        <w:rPr>
          <w:color w:val="auto"/>
          <w:highlight w:val="none"/>
        </w:rPr>
        <w:fldChar w:fldCharType="separate"/>
      </w:r>
      <w:r>
        <w:rPr>
          <w:rFonts w:hint="eastAsia" w:ascii="宋体" w:hAnsi="宋体" w:cs="宋体"/>
          <w:color w:val="auto"/>
          <w:highlight w:val="none"/>
        </w:rPr>
        <w:t>30.适用法律</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"_Toc2284" </w:instrText>
      </w:r>
      <w:r>
        <w:rPr>
          <w:color w:val="auto"/>
          <w:highlight w:val="none"/>
        </w:rPr>
        <w:fldChar w:fldCharType="separate"/>
      </w:r>
      <w:r>
        <w:rPr>
          <w:rFonts w:hint="eastAsia" w:ascii="宋体" w:hAnsi="宋体" w:cs="宋体"/>
          <w:color w:val="auto"/>
          <w:highlight w:val="none"/>
        </w:rPr>
        <w:t>20.其他</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rFonts w:ascii="宋体" w:hAnsi="宋体" w:cs="宋体"/>
          <w:color w:val="auto"/>
          <w:highlight w:val="none"/>
        </w:rPr>
      </w:pPr>
      <w:r>
        <w:rPr>
          <w:color w:val="auto"/>
          <w:highlight w:val="none"/>
        </w:rPr>
        <w:fldChar w:fldCharType="begin"/>
      </w:r>
      <w:r>
        <w:rPr>
          <w:color w:val="auto"/>
          <w:highlight w:val="none"/>
        </w:rPr>
        <w:instrText xml:space="preserve"> HYPERLINK \l "_Toc2284" </w:instrText>
      </w:r>
      <w:r>
        <w:rPr>
          <w:color w:val="auto"/>
          <w:highlight w:val="none"/>
        </w:rPr>
        <w:fldChar w:fldCharType="separate"/>
      </w:r>
      <w:r>
        <w:rPr>
          <w:rFonts w:hint="eastAsia" w:ascii="宋体" w:hAnsi="宋体" w:cs="宋体"/>
          <w:color w:val="auto"/>
          <w:highlight w:val="none"/>
        </w:rPr>
        <w:t>31.廉洁条款特别约定</w:t>
      </w:r>
      <w:r>
        <w:rPr>
          <w:rFonts w:hint="eastAsia" w:ascii="宋体" w:hAnsi="宋体" w:cs="宋体"/>
          <w:color w:val="auto"/>
          <w:highlight w:val="none"/>
        </w:rPr>
        <w:tab/>
      </w:r>
      <w:r>
        <w:rPr>
          <w:rFonts w:hint="eastAsia" w:ascii="宋体" w:hAnsi="宋体" w:cs="宋体"/>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"_Toc11519" </w:instrText>
      </w:r>
      <w:r>
        <w:rPr>
          <w:color w:val="auto"/>
          <w:highlight w:val="none"/>
        </w:rPr>
        <w:fldChar w:fldCharType="separate"/>
      </w:r>
      <w:r>
        <w:rPr>
          <w:rFonts w:hint="eastAsia" w:ascii="宋体" w:hAnsi="宋体" w:cs="宋体"/>
          <w:color w:val="auto"/>
          <w:highlight w:val="none"/>
        </w:rPr>
        <w:t>32.合同生效和签约地</w:t>
      </w:r>
      <w:r>
        <w:rPr>
          <w:rFonts w:hint="eastAsia" w:ascii="宋体" w:hAnsi="宋体" w:cs="宋体"/>
          <w:color w:val="auto"/>
          <w:highlight w:val="none"/>
        </w:rPr>
        <w:tab/>
      </w:r>
      <w:r>
        <w:rPr>
          <w:rFonts w:hint="eastAsia" w:ascii="宋体" w:hAnsi="宋体" w:cs="宋体"/>
          <w:color w:val="auto"/>
          <w:highlight w:val="none"/>
        </w:rPr>
        <w:fldChar w:fldCharType="end"/>
      </w:r>
    </w:p>
    <w:p>
      <w:pPr>
        <w:pStyle w:val="22"/>
        <w:tabs>
          <w:tab w:val="right" w:leader="dot" w:pos="9069"/>
        </w:tabs>
        <w:snapToGrid w:val="0"/>
        <w:spacing w:line="240" w:lineRule="auto"/>
        <w:ind w:right="-28"/>
        <w:rPr>
          <w:b/>
          <w:bCs/>
          <w:color w:val="auto"/>
          <w:highlight w:val="none"/>
        </w:rPr>
      </w:pPr>
      <w:r>
        <w:rPr>
          <w:b/>
          <w:bCs/>
          <w:color w:val="auto"/>
          <w:highlight w:val="none"/>
        </w:rPr>
        <w:t>第</w:t>
      </w:r>
      <w:r>
        <w:rPr>
          <w:rFonts w:hint="eastAsia"/>
          <w:b/>
          <w:bCs/>
          <w:color w:val="auto"/>
          <w:highlight w:val="none"/>
        </w:rPr>
        <w:t>五</w:t>
      </w:r>
      <w:r>
        <w:rPr>
          <w:b/>
          <w:bCs/>
          <w:color w:val="auto"/>
          <w:highlight w:val="none"/>
        </w:rPr>
        <w:t>部分</w:t>
      </w:r>
      <w:r>
        <w:rPr>
          <w:rFonts w:hint="eastAsia"/>
          <w:b/>
          <w:bCs/>
          <w:color w:val="auto"/>
          <w:highlight w:val="none"/>
        </w:rPr>
        <w:t xml:space="preserve"> 技术规格书</w:t>
      </w:r>
      <w:r>
        <w:rPr>
          <w:color w:val="auto"/>
          <w:highlight w:val="none"/>
        </w:rPr>
        <w:fldChar w:fldCharType="begin"/>
      </w:r>
      <w:r>
        <w:rPr>
          <w:color w:val="auto"/>
          <w:highlight w:val="none"/>
        </w:rPr>
        <w:instrText xml:space="preserve"> HYPERLINK \l "_Toc25207" </w:instrText>
      </w:r>
      <w:r>
        <w:rPr>
          <w:color w:val="auto"/>
          <w:highlight w:val="none"/>
        </w:rPr>
        <w:fldChar w:fldCharType="separate"/>
      </w:r>
      <w:r>
        <w:rPr>
          <w:b/>
          <w:bCs/>
          <w:color w:val="auto"/>
          <w:highlight w:val="none"/>
        </w:rPr>
        <w:tab/>
      </w:r>
      <w:r>
        <w:rPr>
          <w:b/>
          <w:bCs/>
          <w:color w:val="auto"/>
          <w:highlight w:val="none"/>
        </w:rPr>
        <w:fldChar w:fldCharType="end"/>
      </w:r>
    </w:p>
    <w:p>
      <w:pPr>
        <w:pStyle w:val="22"/>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六</w:t>
      </w:r>
      <w:r>
        <w:rPr>
          <w:rFonts w:ascii="宋体" w:hAnsi="宋体"/>
          <w:b/>
          <w:bCs/>
          <w:iCs/>
          <w:color w:val="auto"/>
          <w:highlight w:val="none"/>
        </w:rPr>
        <w:t>部分</w:t>
      </w:r>
      <w:r>
        <w:rPr>
          <w:rFonts w:hint="eastAsia" w:ascii="宋体" w:hAnsi="宋体"/>
          <w:b/>
          <w:bCs/>
          <w:iCs/>
          <w:color w:val="auto"/>
          <w:highlight w:val="none"/>
        </w:rPr>
        <w:t xml:space="preserve"> </w:t>
      </w:r>
      <w:r>
        <w:rPr>
          <w:rFonts w:ascii="宋体" w:hAnsi="宋体"/>
          <w:b/>
          <w:bCs/>
          <w:iCs/>
          <w:color w:val="auto"/>
          <w:highlight w:val="none"/>
        </w:rPr>
        <w:t>合同附件</w:t>
      </w:r>
      <w:r>
        <w:rPr>
          <w:b/>
          <w:bCs/>
          <w:color w:val="auto"/>
          <w:highlight w:val="none"/>
        </w:rPr>
        <w:tab/>
      </w:r>
      <w:r>
        <w:rPr>
          <w:b/>
          <w:bCs/>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"_Toc16698" </w:instrText>
      </w:r>
      <w:r>
        <w:rPr>
          <w:color w:val="auto"/>
          <w:highlight w:val="none"/>
        </w:rPr>
        <w:fldChar w:fldCharType="separate"/>
      </w:r>
      <w:r>
        <w:rPr>
          <w:rFonts w:hint="eastAsia" w:ascii="宋体" w:hAnsi="宋体"/>
          <w:color w:val="auto"/>
          <w:szCs w:val="24"/>
          <w:highlight w:val="none"/>
        </w:rPr>
        <w:t>1.履约保证金缴纳凭证（履约保函格式附后）</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rFonts w:ascii="宋体" w:hAnsi="宋体"/>
          <w:color w:val="auto"/>
          <w:szCs w:val="24"/>
          <w:highlight w:val="none"/>
        </w:rPr>
      </w:pPr>
      <w:r>
        <w:rPr>
          <w:rFonts w:ascii="宋体" w:hAnsi="宋体"/>
          <w:color w:val="auto"/>
          <w:szCs w:val="24"/>
          <w:highlight w:val="none"/>
        </w:rPr>
        <w:fldChar w:fldCharType="begin"/>
      </w:r>
      <w:r>
        <w:rPr>
          <w:rFonts w:ascii="宋体" w:hAnsi="宋体"/>
          <w:color w:val="auto"/>
          <w:szCs w:val="24"/>
          <w:highlight w:val="none"/>
        </w:rPr>
        <w:instrText xml:space="preserve"> HYPERLINK \l "_Toc16698" </w:instrText>
      </w:r>
      <w:r>
        <w:rPr>
          <w:rFonts w:ascii="宋体" w:hAnsi="宋体"/>
          <w:color w:val="auto"/>
          <w:szCs w:val="24"/>
          <w:highlight w:val="none"/>
        </w:rPr>
        <w:fldChar w:fldCharType="separate"/>
      </w:r>
      <w:r>
        <w:rPr>
          <w:rFonts w:hint="eastAsia" w:ascii="宋体" w:hAnsi="宋体"/>
          <w:color w:val="auto"/>
          <w:szCs w:val="24"/>
          <w:highlight w:val="none"/>
        </w:rPr>
        <w:t>2.乙方营业执照或资质证书等</w:t>
      </w:r>
      <w:r>
        <w:rPr>
          <w:color w:val="auto"/>
          <w:highlight w:val="none"/>
        </w:rPr>
        <w:tab/>
      </w:r>
    </w:p>
    <w:p>
      <w:pPr>
        <w:pStyle w:val="11"/>
        <w:tabs>
          <w:tab w:val="right" w:leader="dot" w:pos="9069"/>
        </w:tabs>
        <w:snapToGrid w:val="0"/>
        <w:spacing w:line="240" w:lineRule="auto"/>
        <w:ind w:right="-28"/>
        <w:rPr>
          <w:rFonts w:ascii="宋体" w:hAnsi="宋体"/>
          <w:color w:val="auto"/>
          <w:szCs w:val="24"/>
          <w:highlight w:val="none"/>
        </w:rPr>
      </w:pPr>
      <w:r>
        <w:rPr>
          <w:rFonts w:hint="eastAsia" w:ascii="宋体" w:hAnsi="宋体"/>
          <w:color w:val="auto"/>
          <w:szCs w:val="24"/>
          <w:highlight w:val="none"/>
        </w:rPr>
        <w:t>3.乙方法人授权委托书（如有）</w:t>
      </w:r>
      <w:r>
        <w:rPr>
          <w:color w:val="auto"/>
          <w:highlight w:val="none"/>
        </w:rPr>
        <w:tab/>
      </w:r>
      <w:r>
        <w:rPr>
          <w:rFonts w:ascii="宋体" w:hAnsi="宋体"/>
          <w:color w:val="auto"/>
          <w:szCs w:val="24"/>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"_Toc28104" </w:instrText>
      </w:r>
      <w:r>
        <w:rPr>
          <w:color w:val="auto"/>
          <w:highlight w:val="none"/>
        </w:rPr>
        <w:fldChar w:fldCharType="separate"/>
      </w:r>
      <w:r>
        <w:rPr>
          <w:rFonts w:hint="eastAsia" w:ascii="宋体" w:hAnsi="宋体"/>
          <w:color w:val="auto"/>
          <w:szCs w:val="24"/>
          <w:highlight w:val="none"/>
        </w:rPr>
        <w:t>4.原厂授权证明（如有）</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"_Toc7738" </w:instrText>
      </w:r>
      <w:r>
        <w:rPr>
          <w:color w:val="auto"/>
          <w:highlight w:val="none"/>
        </w:rPr>
        <w:fldChar w:fldCharType="separate"/>
      </w:r>
      <w:r>
        <w:rPr>
          <w:rFonts w:hint="eastAsia" w:ascii="宋体" w:hAnsi="宋体"/>
          <w:color w:val="auto"/>
          <w:szCs w:val="24"/>
          <w:highlight w:val="none"/>
        </w:rPr>
        <w:t>5.供货证明格式</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"_Toc8452" </w:instrText>
      </w:r>
      <w:r>
        <w:rPr>
          <w:color w:val="auto"/>
          <w:highlight w:val="none"/>
        </w:rPr>
        <w:fldChar w:fldCharType="separate"/>
      </w:r>
      <w:r>
        <w:rPr>
          <w:rFonts w:hint="eastAsia" w:ascii="宋体" w:hAnsi="宋体"/>
          <w:color w:val="auto"/>
          <w:szCs w:val="24"/>
          <w:highlight w:val="none"/>
        </w:rPr>
        <w:t>6.交货通知格式</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rFonts w:ascii="宋体" w:hAnsi="宋体"/>
          <w:color w:val="auto"/>
          <w:szCs w:val="24"/>
          <w:highlight w:val="none"/>
        </w:rPr>
      </w:pPr>
      <w:r>
        <w:rPr>
          <w:color w:val="auto"/>
          <w:highlight w:val="none"/>
        </w:rPr>
        <w:fldChar w:fldCharType="begin"/>
      </w:r>
      <w:r>
        <w:rPr>
          <w:color w:val="auto"/>
          <w:highlight w:val="none"/>
        </w:rPr>
        <w:instrText xml:space="preserve"> HYPERLINK \l "_Toc30967" </w:instrText>
      </w:r>
      <w:r>
        <w:rPr>
          <w:color w:val="auto"/>
          <w:highlight w:val="none"/>
        </w:rPr>
        <w:fldChar w:fldCharType="separate"/>
      </w:r>
      <w:r>
        <w:rPr>
          <w:rFonts w:hint="eastAsia" w:ascii="宋体" w:hAnsi="宋体"/>
          <w:color w:val="auto"/>
          <w:szCs w:val="24"/>
          <w:highlight w:val="none"/>
        </w:rPr>
        <w:t>7.送货单格式</w:t>
      </w:r>
      <w:r>
        <w:rPr>
          <w:color w:val="auto"/>
          <w:highlight w:val="none"/>
        </w:rPr>
        <w:tab/>
      </w:r>
      <w:r>
        <w:rPr>
          <w:color w:val="auto"/>
          <w:highlight w:val="none"/>
        </w:rPr>
        <w:fldChar w:fldCharType="end"/>
      </w:r>
    </w:p>
    <w:p>
      <w:pPr>
        <w:pStyle w:val="22"/>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七</w:t>
      </w:r>
      <w:r>
        <w:rPr>
          <w:rFonts w:ascii="宋体" w:hAnsi="宋体"/>
          <w:b/>
          <w:bCs/>
          <w:iCs/>
          <w:color w:val="auto"/>
          <w:highlight w:val="none"/>
        </w:rPr>
        <w:t>部分</w:t>
      </w:r>
      <w:r>
        <w:rPr>
          <w:rFonts w:hint="eastAsia" w:ascii="宋体" w:hAnsi="宋体"/>
          <w:b/>
          <w:bCs/>
          <w:iCs/>
          <w:color w:val="auto"/>
          <w:highlight w:val="none"/>
        </w:rPr>
        <w:t xml:space="preserve"> 比选文件</w:t>
      </w:r>
      <w:r>
        <w:rPr>
          <w:b/>
          <w:bCs/>
          <w:color w:val="auto"/>
          <w:highlight w:val="none"/>
        </w:rPr>
        <w:tab/>
      </w:r>
      <w:r>
        <w:rPr>
          <w:b/>
          <w:bCs/>
          <w:color w:val="auto"/>
          <w:highlight w:val="none"/>
        </w:rPr>
        <w:fldChar w:fldCharType="end"/>
      </w:r>
    </w:p>
    <w:p>
      <w:pPr>
        <w:pStyle w:val="22"/>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八</w:t>
      </w:r>
      <w:r>
        <w:rPr>
          <w:rFonts w:ascii="宋体" w:hAnsi="宋体"/>
          <w:b/>
          <w:bCs/>
          <w:iCs/>
          <w:color w:val="auto"/>
          <w:highlight w:val="none"/>
        </w:rPr>
        <w:t>部分</w:t>
      </w:r>
      <w:r>
        <w:rPr>
          <w:rFonts w:hint="eastAsia" w:ascii="宋体" w:hAnsi="宋体"/>
          <w:b/>
          <w:bCs/>
          <w:iCs/>
          <w:color w:val="auto"/>
          <w:highlight w:val="none"/>
        </w:rPr>
        <w:t xml:space="preserve"> 比选申请文件</w:t>
      </w:r>
      <w:r>
        <w:rPr>
          <w:b/>
          <w:bCs/>
          <w:color w:val="auto"/>
          <w:highlight w:val="none"/>
        </w:rPr>
        <w:tab/>
      </w:r>
      <w:r>
        <w:rPr>
          <w:b/>
          <w:bCs/>
          <w:color w:val="auto"/>
          <w:highlight w:val="none"/>
        </w:rPr>
        <w:fldChar w:fldCharType="end"/>
      </w:r>
    </w:p>
    <w:p>
      <w:pPr>
        <w:spacing w:before="0" w:after="0" w:afterAutospacing="0"/>
        <w:ind w:left="0" w:right="0" w:firstLine="420" w:firstLineChars="200"/>
        <w:rPr>
          <w:rFonts w:ascii="宋体" w:hAnsi="宋体"/>
          <w:color w:val="auto"/>
          <w:highlight w:val="none"/>
        </w:rPr>
      </w:pP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Pr>
        <w:pageBreakBefore/>
        <w:spacing w:before="0"/>
        <w:ind w:right="0" w:firstLine="198"/>
        <w:jc w:val="center"/>
        <w:outlineLvl w:val="1"/>
        <w:rPr>
          <w:rFonts w:ascii="宋体" w:hAnsi="宋体"/>
          <w:color w:val="auto"/>
          <w:sz w:val="24"/>
          <w:szCs w:val="24"/>
          <w:highlight w:val="none"/>
        </w:rPr>
      </w:pPr>
      <w:bookmarkStart w:id="131" w:name="_Toc101965689"/>
      <w:bookmarkStart w:id="132" w:name="_Toc22286"/>
      <w:r>
        <w:rPr>
          <w:rFonts w:hint="eastAsia" w:ascii="宋体" w:hAnsi="宋体"/>
          <w:color w:val="auto"/>
          <w:sz w:val="24"/>
          <w:szCs w:val="24"/>
          <w:highlight w:val="none"/>
        </w:rPr>
        <w:t>第一部分 合同协议书</w:t>
      </w:r>
      <w:bookmarkEnd w:id="131"/>
      <w:bookmarkEnd w:id="132"/>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甲方：南宁轨道交通运营有限公司</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本协议由南宁轨道交通运营有限公司（下称“甲方”或 “业主</w:t>
      </w:r>
      <w:r>
        <w:rPr>
          <w:rFonts w:ascii="宋体" w:hAnsi="宋体"/>
          <w:color w:val="auto"/>
          <w:highlight w:val="none"/>
        </w:rPr>
        <w:t>”</w:t>
      </w:r>
      <w:r>
        <w:rPr>
          <w:rFonts w:hint="eastAsia" w:ascii="宋体" w:hAnsi="宋体"/>
          <w:color w:val="auto"/>
          <w:highlight w:val="none"/>
        </w:rPr>
        <w:t>）与（下称“乙方”），双方根据</w:t>
      </w:r>
      <w:r>
        <w:rPr>
          <w:rFonts w:hint="eastAsia" w:ascii="宋体" w:hAnsi="宋体"/>
          <w:color w:val="auto"/>
          <w:highlight w:val="none"/>
          <w:u w:val="single"/>
        </w:rPr>
        <w:t>南宁轨道交通运营有限公司2023年办公家具采购项目</w:t>
      </w:r>
      <w:r>
        <w:rPr>
          <w:rFonts w:hint="eastAsia" w:ascii="宋体" w:hAnsi="宋体"/>
          <w:color w:val="auto"/>
          <w:highlight w:val="none"/>
        </w:rPr>
        <w:t>（项目编号：</w:t>
      </w:r>
      <w:r>
        <w:rPr>
          <w:rFonts w:hint="eastAsia" w:ascii="宋体" w:hAnsi="宋体"/>
          <w:color w:val="auto"/>
          <w:highlight w:val="none"/>
          <w:u w:val="single"/>
        </w:rPr>
        <w:t xml:space="preserve"> 202305170008</w:t>
      </w:r>
      <w:r>
        <w:rPr>
          <w:rFonts w:hint="eastAsia" w:ascii="宋体" w:hAnsi="宋体"/>
          <w:color w:val="auto"/>
          <w:highlight w:val="none"/>
        </w:rPr>
        <w:t>）比选结果，依据《中华人民共和国民法典》的规定，签订协议。具体内容如下：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1、</w:t>
      </w:r>
      <w:r>
        <w:rPr>
          <w:rFonts w:hint="eastAsia" w:ascii="宋体" w:hAnsi="宋体" w:cs="Arial"/>
          <w:b/>
          <w:color w:val="auto"/>
          <w:highlight w:val="none"/>
        </w:rPr>
        <w:t>项目概况</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1.1 项目名称：</w:t>
      </w:r>
      <w:r>
        <w:rPr>
          <w:rFonts w:hint="eastAsia" w:ascii="宋体" w:hAnsi="宋体"/>
          <w:color w:val="auto"/>
          <w:highlight w:val="none"/>
          <w:u w:val="single"/>
        </w:rPr>
        <w:t>南宁轨道交通运营有限公司2023年办公家具采购项目</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1.2项目实施地点：</w:t>
      </w:r>
      <w:r>
        <w:rPr>
          <w:rFonts w:hint="eastAsia" w:ascii="宋体" w:hAnsi="宋体"/>
          <w:color w:val="auto"/>
          <w:highlight w:val="none"/>
        </w:rPr>
        <w:t>广西壮族自治区南宁市内比选人指定地点。</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1.3项目范围：</w:t>
      </w:r>
      <w:r>
        <w:rPr>
          <w:rFonts w:hint="eastAsia" w:ascii="宋体" w:hAnsi="宋体"/>
          <w:color w:val="auto"/>
          <w:highlight w:val="none"/>
          <w:u w:val="single"/>
        </w:rPr>
        <w:t>职员椅子、钢制文件柜、卡座、会议桌等物资采购，</w:t>
      </w:r>
      <w:r>
        <w:rPr>
          <w:rFonts w:hint="eastAsia" w:ascii="宋体" w:hAnsi="宋体"/>
          <w:color w:val="auto"/>
          <w:highlight w:val="none"/>
        </w:rPr>
        <w:t>具体详见用户需求书</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1.4 其他：</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2、</w:t>
      </w:r>
      <w:r>
        <w:rPr>
          <w:rFonts w:hint="eastAsia" w:ascii="宋体" w:hAnsi="宋体" w:cs="Arial"/>
          <w:b/>
          <w:color w:val="auto"/>
          <w:highlight w:val="none"/>
        </w:rPr>
        <w:t>合同标的</w:t>
      </w:r>
    </w:p>
    <w:p>
      <w:pPr>
        <w:tabs>
          <w:tab w:val="left" w:pos="1134"/>
          <w:tab w:val="left" w:pos="1680"/>
        </w:tabs>
        <w:spacing w:before="0" w:after="0" w:afterAutospacing="0"/>
        <w:ind w:left="0" w:right="0" w:firstLine="420"/>
        <w:rPr>
          <w:color w:val="auto"/>
          <w:highlight w:val="none"/>
        </w:rPr>
      </w:pPr>
      <w:r>
        <w:rPr>
          <w:rFonts w:hint="eastAsia"/>
          <w:color w:val="auto"/>
          <w:highlight w:val="none"/>
        </w:rPr>
        <w:t>甲方同意接受乙方作为中选方并以下列第3条所述价格提供</w:t>
      </w:r>
      <w:r>
        <w:rPr>
          <w:rFonts w:hint="eastAsia"/>
          <w:color w:val="auto"/>
          <w:highlight w:val="none"/>
          <w:u w:val="single"/>
        </w:rPr>
        <w:t>南宁轨道交通运营有限公司2023年办公家具采购项目</w:t>
      </w:r>
      <w:r>
        <w:rPr>
          <w:rFonts w:hint="eastAsia"/>
          <w:color w:val="auto"/>
          <w:highlight w:val="none"/>
        </w:rPr>
        <w:t>项下的</w:t>
      </w:r>
      <w:r>
        <w:rPr>
          <w:rFonts w:hint="eastAsia"/>
          <w:i/>
          <w:color w:val="auto"/>
          <w:highlight w:val="none"/>
          <w:u w:val="single"/>
        </w:rPr>
        <w:t xml:space="preserve"> </w:t>
      </w:r>
      <w:r>
        <w:rPr>
          <w:rFonts w:hint="eastAsia"/>
          <w:color w:val="auto"/>
          <w:highlight w:val="none"/>
          <w:u w:val="single"/>
        </w:rPr>
        <w:t>货物和服务。</w:t>
      </w:r>
    </w:p>
    <w:p>
      <w:pPr>
        <w:tabs>
          <w:tab w:val="left" w:pos="567"/>
        </w:tabs>
        <w:spacing w:before="0" w:after="0" w:afterAutospacing="0"/>
        <w:ind w:left="0" w:right="0" w:firstLine="422" w:firstLineChars="200"/>
        <w:rPr>
          <w:rFonts w:ascii="宋体" w:hAnsi="宋体"/>
          <w:b/>
          <w:color w:val="auto"/>
          <w:highlight w:val="none"/>
        </w:rPr>
      </w:pPr>
      <w:r>
        <w:rPr>
          <w:rFonts w:ascii="宋体" w:hAnsi="宋体"/>
          <w:b/>
          <w:color w:val="auto"/>
          <w:highlight w:val="none"/>
        </w:rPr>
        <w:t>3、合同</w:t>
      </w:r>
      <w:r>
        <w:rPr>
          <w:rFonts w:hint="eastAsia" w:ascii="宋体" w:hAnsi="宋体"/>
          <w:b/>
          <w:color w:val="auto"/>
          <w:highlight w:val="none"/>
        </w:rPr>
        <w:t>价格</w:t>
      </w:r>
    </w:p>
    <w:p>
      <w:pPr>
        <w:tabs>
          <w:tab w:val="left" w:pos="567"/>
        </w:tabs>
        <w:spacing w:before="0" w:after="0" w:afterAutospacing="0"/>
        <w:ind w:left="0" w:right="0" w:firstLine="420" w:firstLineChars="200"/>
        <w:rPr>
          <w:rFonts w:ascii="宋体" w:hAnsi="宋体"/>
          <w:b/>
          <w:color w:val="auto"/>
          <w:highlight w:val="none"/>
        </w:rPr>
      </w:pPr>
      <w:r>
        <w:rPr>
          <w:rFonts w:hint="eastAsia" w:ascii="宋体" w:hAnsi="宋体"/>
          <w:color w:val="auto"/>
          <w:highlight w:val="none"/>
        </w:rPr>
        <w:t>（1）本合同总价为：不含税人民币</w:t>
      </w:r>
      <w:r>
        <w:rPr>
          <w:rFonts w:hint="eastAsia" w:ascii="宋体" w:hAnsi="宋体"/>
          <w:color w:val="auto"/>
          <w:highlight w:val="none"/>
          <w:u w:val="single"/>
        </w:rPr>
        <w:t xml:space="preserve"> （填写） (¥  )</w:t>
      </w:r>
      <w:r>
        <w:rPr>
          <w:rFonts w:hint="eastAsia" w:ascii="宋体" w:hAnsi="宋体"/>
          <w:color w:val="auto"/>
          <w:highlight w:val="none"/>
        </w:rPr>
        <w:t>；税费人民币</w:t>
      </w:r>
      <w:r>
        <w:rPr>
          <w:rFonts w:hint="eastAsia" w:ascii="宋体" w:hAnsi="宋体"/>
          <w:color w:val="auto"/>
          <w:highlight w:val="none"/>
          <w:u w:val="single"/>
        </w:rPr>
        <w:t>（填写）(¥  )</w:t>
      </w:r>
      <w:r>
        <w:rPr>
          <w:rFonts w:hint="eastAsia" w:ascii="宋体" w:hAnsi="宋体"/>
          <w:color w:val="auto"/>
          <w:highlight w:val="none"/>
        </w:rPr>
        <w:t>；税率</w:t>
      </w:r>
      <w:r>
        <w:rPr>
          <w:rFonts w:hint="eastAsia" w:ascii="宋体" w:hAnsi="宋体"/>
          <w:color w:val="auto"/>
          <w:highlight w:val="none"/>
          <w:u w:val="single"/>
        </w:rPr>
        <w:t>（填写）%</w:t>
      </w:r>
      <w:r>
        <w:rPr>
          <w:rFonts w:hint="eastAsia" w:ascii="宋体" w:hAnsi="宋体"/>
          <w:color w:val="auto"/>
          <w:highlight w:val="none"/>
        </w:rPr>
        <w:t>；含税总价：人民币</w:t>
      </w:r>
      <w:r>
        <w:rPr>
          <w:rFonts w:hint="eastAsia" w:ascii="宋体" w:hAnsi="宋体"/>
          <w:color w:val="auto"/>
          <w:highlight w:val="none"/>
          <w:u w:val="single"/>
        </w:rPr>
        <w:t xml:space="preserve"> （填写）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w:t>
      </w:r>
      <w:r>
        <w:rPr>
          <w:rFonts w:hint="eastAsia" w:ascii="宋体" w:hAnsi="宋体"/>
          <w:b/>
          <w:color w:val="auto"/>
          <w:highlight w:val="none"/>
        </w:rPr>
        <w:t>在合同履约过程中，本合同税率将遵照国家现行税法执行，最终税金在结算阶段，按实际产生的税金进行核算。</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（2）合同价格形式：</w:t>
      </w:r>
      <w:r>
        <w:rPr>
          <w:rFonts w:hint="eastAsia" w:ascii="宋体" w:hAnsi="宋体"/>
          <w:color w:val="auto"/>
          <w:highlight w:val="none"/>
          <w:u w:val="single"/>
        </w:rPr>
        <w:t>合同不含税单价为固定价</w:t>
      </w:r>
      <w:r>
        <w:rPr>
          <w:rFonts w:hint="eastAsia" w:ascii="宋体" w:hAnsi="宋体"/>
          <w:color w:val="auto"/>
          <w:highlight w:val="none"/>
        </w:rPr>
        <w:t>。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4</w:t>
      </w:r>
      <w:r>
        <w:rPr>
          <w:rFonts w:ascii="宋体" w:hAnsi="宋体"/>
          <w:b/>
          <w:color w:val="auto"/>
          <w:highlight w:val="none"/>
        </w:rPr>
        <w:t>.本合同由下列文件构成</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（7）比选文件（含比选补充文件）；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cs="宋体"/>
          <w:color w:val="auto"/>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0" w:firstLine="420" w:firstLineChars="200"/>
        <w:rPr>
          <w:color w:val="auto"/>
          <w:highlight w:val="none"/>
        </w:rPr>
      </w:pPr>
      <w:r>
        <w:rPr>
          <w:rFonts w:hint="eastAsia" w:ascii="宋体" w:hAnsi="宋体" w:cs="Arial"/>
          <w:color w:val="auto"/>
          <w:highlight w:val="none"/>
        </w:rPr>
        <w:t>5.</w:t>
      </w:r>
      <w:r>
        <w:rPr>
          <w:rFonts w:hint="eastAsia"/>
          <w:color w:val="auto"/>
          <w:highlight w:val="none"/>
        </w:rPr>
        <w:t xml:space="preserve"> 甲乙</w:t>
      </w:r>
      <w:r>
        <w:rPr>
          <w:color w:val="auto"/>
          <w:highlight w:val="none"/>
        </w:rPr>
        <w:t>双方依据本次招标文件中的用户需求书</w:t>
      </w:r>
      <w:r>
        <w:rPr>
          <w:rFonts w:hint="eastAsia"/>
          <w:color w:val="auto"/>
          <w:highlight w:val="none"/>
        </w:rPr>
        <w:t>、乙方投标文件（如技术响应表、技术文件等）</w:t>
      </w:r>
      <w:r>
        <w:rPr>
          <w:color w:val="auto"/>
          <w:highlight w:val="none"/>
        </w:rPr>
        <w:t>，按照二者</w:t>
      </w:r>
      <w:r>
        <w:rPr>
          <w:rFonts w:hint="eastAsia"/>
          <w:color w:val="auto"/>
          <w:highlight w:val="none"/>
        </w:rPr>
        <w:t>较</w:t>
      </w:r>
      <w:r>
        <w:rPr>
          <w:color w:val="auto"/>
          <w:highlight w:val="none"/>
        </w:rPr>
        <w:t>优值形成技术规格书</w:t>
      </w:r>
      <w:r>
        <w:rPr>
          <w:rFonts w:hint="eastAsia"/>
          <w:color w:val="auto"/>
          <w:highlight w:val="none"/>
        </w:rPr>
        <w:t>。</w:t>
      </w:r>
      <w:r>
        <w:rPr>
          <w:color w:val="auto"/>
          <w:highlight w:val="none"/>
        </w:rPr>
        <w:t>并经双方</w:t>
      </w:r>
      <w:r>
        <w:rPr>
          <w:rFonts w:hint="eastAsia"/>
          <w:color w:val="auto"/>
          <w:highlight w:val="none"/>
        </w:rPr>
        <w:t>确认</w:t>
      </w:r>
      <w:r>
        <w:rPr>
          <w:color w:val="auto"/>
          <w:highlight w:val="none"/>
        </w:rPr>
        <w:t>后构成本合同的有效组成部分。在本合同执行中的</w:t>
      </w:r>
      <w:r>
        <w:rPr>
          <w:rFonts w:hint="eastAsia"/>
          <w:color w:val="auto"/>
          <w:highlight w:val="none"/>
        </w:rPr>
        <w:t>物资</w:t>
      </w:r>
      <w:r>
        <w:rPr>
          <w:color w:val="auto"/>
          <w:highlight w:val="none"/>
        </w:rPr>
        <w:t>技术指标以技术规格书为准。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hint="eastAsia" w:ascii="宋体" w:hAnsi="宋体" w:cs="Arial"/>
          <w:color w:val="auto"/>
          <w:highlight w:val="none"/>
        </w:rPr>
        <w:t xml:space="preserve"> </w:t>
      </w:r>
      <w:r>
        <w:rPr>
          <w:rFonts w:hint="eastAsia"/>
          <w:color w:val="auto"/>
          <w:highlight w:val="none"/>
        </w:rPr>
        <w:t>甲方向乙方承诺按合同条款约定的条件、时间和方式支付合同价款。</w:t>
      </w:r>
    </w:p>
    <w:p>
      <w:pPr>
        <w:spacing w:before="0" w:after="0" w:afterAutospacing="0"/>
        <w:ind w:left="0" w:right="0" w:firstLine="420" w:firstLineChars="200"/>
        <w:rPr>
          <w:color w:val="auto"/>
          <w:highlight w:val="none"/>
        </w:rPr>
      </w:pPr>
      <w:r>
        <w:rPr>
          <w:rFonts w:hint="eastAsia" w:ascii="宋体" w:hAnsi="宋体"/>
          <w:color w:val="auto"/>
          <w:highlight w:val="none"/>
        </w:rPr>
        <w:t>7.</w:t>
      </w:r>
      <w:r>
        <w:rPr>
          <w:rFonts w:hint="eastAsia"/>
          <w:color w:val="auto"/>
          <w:highlight w:val="none"/>
        </w:rPr>
        <w:t xml:space="preserve"> 甲方、乙方承诺按照合同条款约定的违约责任和解决争议方式履行合同。</w:t>
      </w:r>
    </w:p>
    <w:p>
      <w:pPr>
        <w:spacing w:before="0" w:after="0" w:afterAutospacing="0"/>
        <w:ind w:left="0" w:right="0" w:firstLine="420" w:firstLineChars="200"/>
        <w:rPr>
          <w:rFonts w:ascii="宋体" w:hAnsi="宋体" w:cs="Arial"/>
          <w:color w:val="auto"/>
          <w:highlight w:val="none"/>
        </w:rPr>
      </w:pPr>
      <w:r>
        <w:rPr>
          <w:rFonts w:hint="eastAsia" w:ascii="宋体" w:hAnsi="宋体" w:cs="宋体"/>
          <w:color w:val="auto"/>
          <w:highlight w:val="none"/>
        </w:rPr>
        <w:t xml:space="preserve">8. </w:t>
      </w:r>
      <w:r>
        <w:rPr>
          <w:rFonts w:hint="eastAsia"/>
          <w:color w:val="auto"/>
          <w:highlight w:val="none"/>
        </w:rPr>
        <w:t>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s="Arial"/>
          <w:color w:val="auto"/>
          <w:highlight w:val="none"/>
          <w:u w:val="single"/>
        </w:rPr>
        <w:t>8</w:t>
      </w:r>
      <w:r>
        <w:rPr>
          <w:rFonts w:hint="eastAsia" w:ascii="宋体" w:hAnsi="宋体" w:cs="Arial"/>
          <w:color w:val="auto"/>
          <w:highlight w:val="none"/>
        </w:rPr>
        <w:t xml:space="preserve">份，甲方持 </w:t>
      </w:r>
      <w:r>
        <w:rPr>
          <w:rFonts w:hint="eastAsia" w:ascii="宋体" w:hAnsi="宋体"/>
          <w:color w:val="auto"/>
          <w:highlight w:val="none"/>
          <w:u w:val="single"/>
        </w:rPr>
        <w:t>7</w:t>
      </w:r>
      <w:r>
        <w:rPr>
          <w:rFonts w:hint="eastAsia" w:ascii="宋体" w:hAnsi="宋体" w:cs="Arial"/>
          <w:color w:val="auto"/>
          <w:highlight w:val="none"/>
        </w:rPr>
        <w:t>份，乙方持</w:t>
      </w:r>
      <w:r>
        <w:rPr>
          <w:rFonts w:hint="eastAsia" w:ascii="宋体" w:hAnsi="宋体"/>
          <w:color w:val="auto"/>
          <w:highlight w:val="none"/>
          <w:u w:val="single"/>
        </w:rPr>
        <w:t>1</w:t>
      </w:r>
      <w:r>
        <w:rPr>
          <w:rFonts w:hint="eastAsia" w:ascii="宋体" w:hAnsi="宋体" w:cs="Arial"/>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10.本合同协议书经双方法定代表人或授权代表签字并加盖单位公章后生效。</w:t>
      </w:r>
    </w:p>
    <w:p>
      <w:pPr>
        <w:spacing w:before="0" w:after="0" w:afterAutospacing="0"/>
        <w:ind w:left="0" w:right="0" w:firstLine="420" w:firstLineChars="200"/>
        <w:rPr>
          <w:color w:val="auto"/>
          <w:highlight w:val="none"/>
        </w:rPr>
      </w:pPr>
      <w:r>
        <w:rPr>
          <w:rFonts w:hint="eastAsia" w:ascii="宋体" w:hAnsi="宋体" w:cs="Arial"/>
          <w:color w:val="auto"/>
          <w:highlight w:val="none"/>
        </w:rPr>
        <w:t>11.</w:t>
      </w:r>
      <w:r>
        <w:rPr>
          <w:rFonts w:hint="eastAsia"/>
          <w:color w:val="auto"/>
          <w:highlight w:val="none"/>
        </w:rPr>
        <w:t xml:space="preserve"> 合同未尽事宜，双方另行签订补充协议。</w:t>
      </w:r>
    </w:p>
    <w:tbl>
      <w:tblPr>
        <w:tblStyle w:val="26"/>
        <w:tblpPr w:leftFromText="180" w:rightFromText="180" w:vertAnchor="text" w:horzAnchor="page" w:tblpX="1419" w:tblpY="229"/>
        <w:tblOverlap w:val="never"/>
        <w:tblW w:w="9585" w:type="dxa"/>
        <w:tblInd w:w="0" w:type="dxa"/>
        <w:tblLayout w:type="autofit"/>
        <w:tblCellMar>
          <w:top w:w="0" w:type="dxa"/>
          <w:left w:w="108" w:type="dxa"/>
          <w:bottom w:w="0" w:type="dxa"/>
          <w:right w:w="108" w:type="dxa"/>
        </w:tblCellMar>
      </w:tblPr>
      <w:tblGrid>
        <w:gridCol w:w="4140"/>
        <w:gridCol w:w="5445"/>
      </w:tblGrid>
      <w:tr>
        <w:tblPrEx>
          <w:tblCellMar>
            <w:top w:w="0" w:type="dxa"/>
            <w:left w:w="108" w:type="dxa"/>
            <w:bottom w:w="0" w:type="dxa"/>
            <w:right w:w="108" w:type="dxa"/>
          </w:tblCellMar>
        </w:tblPrEx>
        <w:trPr>
          <w:trHeight w:val="340" w:hRule="atLeast"/>
        </w:trPr>
        <w:tc>
          <w:tcPr>
            <w:tcW w:w="4140" w:type="dxa"/>
          </w:tcPr>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 xml:space="preserve">甲方：南宁轨道交通运营有限公司   </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 xml:space="preserve">法定代表人或授权人：  </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地址： 南宁市青秀区云景路83号</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联系电话：0771-2778167</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传真：</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开户银行：建行南宁市朝阳支行</w:t>
            </w:r>
          </w:p>
          <w:p>
            <w:pPr>
              <w:pStyle w:val="2"/>
              <w:spacing w:before="0" w:after="0" w:line="240" w:lineRule="auto"/>
              <w:ind w:right="0"/>
              <w:rPr>
                <w:rFonts w:hAnsi="宋体" w:cs="Courier New"/>
                <w:color w:val="auto"/>
                <w:sz w:val="21"/>
                <w:szCs w:val="21"/>
                <w:highlight w:val="none"/>
              </w:rPr>
            </w:pPr>
            <w:r>
              <w:rPr>
                <w:rFonts w:hint="eastAsia" w:hAnsi="宋体" w:cs="Courier New"/>
                <w:color w:val="auto"/>
                <w:sz w:val="21"/>
                <w:szCs w:val="21"/>
                <w:highlight w:val="none"/>
              </w:rPr>
              <w:t>纳税人识别号：91450100MAA7LA2147</w:t>
            </w:r>
          </w:p>
        </w:tc>
        <w:tc>
          <w:tcPr>
            <w:tcW w:w="5445" w:type="dxa"/>
          </w:tcPr>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乙方：</w:t>
            </w:r>
          </w:p>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法定代表人或授权人：</w:t>
            </w:r>
          </w:p>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地址：</w:t>
            </w:r>
          </w:p>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联系电话：</w:t>
            </w:r>
          </w:p>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传真：</w:t>
            </w:r>
          </w:p>
          <w:p>
            <w:pPr>
              <w:pStyle w:val="2"/>
              <w:spacing w:before="0" w:after="0" w:line="240" w:lineRule="auto"/>
              <w:ind w:left="1228" w:right="0" w:firstLine="0"/>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line="240" w:lineRule="auto"/>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bl>
    <w:p>
      <w:pPr>
        <w:spacing w:before="240" w:beforeLines="100" w:after="0" w:afterAutospacing="0"/>
        <w:ind w:left="0" w:right="0" w:firstLine="2530" w:firstLineChars="1200"/>
        <w:rPr>
          <w:rFonts w:ascii="宋体" w:hAnsi="宋体"/>
          <w:color w:val="auto"/>
          <w:highlight w:val="none"/>
        </w:rPr>
      </w:pPr>
      <w:r>
        <w:rPr>
          <w:rFonts w:hint="eastAsia" w:ascii="宋体" w:hAnsi="宋体"/>
          <w:b/>
          <w:color w:val="auto"/>
          <w:highlight w:val="none"/>
        </w:rPr>
        <w:t>签订时间：      年     月    日</w:t>
      </w: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4"/>
        <w:spacing w:before="40" w:after="40" w:line="240" w:lineRule="auto"/>
        <w:jc w:val="center"/>
        <w:rPr>
          <w:rFonts w:ascii="Times New Roman" w:hAnsi="Times New Roman" w:eastAsia="宋体"/>
          <w:color w:val="auto"/>
          <w:highlight w:val="none"/>
        </w:rPr>
      </w:pPr>
      <w:bookmarkStart w:id="133" w:name="_Toc92268619"/>
      <w:bookmarkStart w:id="134" w:name="_Toc101965690"/>
      <w:bookmarkStart w:id="135" w:name="_Toc4837"/>
      <w:r>
        <w:rPr>
          <w:rFonts w:ascii="Times New Roman" w:hAnsi="Times New Roman" w:eastAsia="宋体"/>
          <w:color w:val="auto"/>
          <w:highlight w:val="none"/>
        </w:rPr>
        <w:t>第二部分</w:t>
      </w:r>
      <w:r>
        <w:rPr>
          <w:rFonts w:hint="eastAsia" w:ascii="Times New Roman" w:hAnsi="Times New Roman" w:eastAsia="宋体"/>
          <w:color w:val="auto"/>
          <w:highlight w:val="none"/>
        </w:rPr>
        <w:t xml:space="preserve"> 中选通知书</w:t>
      </w:r>
      <w:bookmarkEnd w:id="133"/>
      <w:bookmarkEnd w:id="134"/>
      <w:bookmarkEnd w:id="135"/>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4"/>
        <w:pageBreakBefore/>
        <w:spacing w:before="40" w:after="40" w:line="240" w:lineRule="auto"/>
        <w:jc w:val="center"/>
        <w:rPr>
          <w:rFonts w:ascii="Times New Roman" w:hAnsi="Times New Roman" w:eastAsia="宋体"/>
          <w:color w:val="auto"/>
          <w:highlight w:val="none"/>
        </w:rPr>
      </w:pPr>
      <w:bookmarkStart w:id="136" w:name="_Toc92268620"/>
      <w:bookmarkStart w:id="137" w:name="_Toc101965691"/>
      <w:bookmarkStart w:id="138" w:name="_Toc12606"/>
      <w:r>
        <w:rPr>
          <w:rFonts w:ascii="Times New Roman" w:hAnsi="Times New Roman" w:eastAsia="宋体"/>
          <w:color w:val="auto"/>
          <w:highlight w:val="none"/>
        </w:rPr>
        <w:t>第</w:t>
      </w:r>
      <w:r>
        <w:rPr>
          <w:rFonts w:hint="eastAsia" w:ascii="Times New Roman" w:hAnsi="Times New Roman" w:eastAsia="宋体"/>
          <w:color w:val="auto"/>
          <w:highlight w:val="none"/>
        </w:rPr>
        <w:t>三</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bookmarkEnd w:id="136"/>
      <w:bookmarkEnd w:id="137"/>
      <w:bookmarkEnd w:id="138"/>
    </w:p>
    <w:p>
      <w:pPr>
        <w:pStyle w:val="52"/>
        <w:adjustRightInd/>
        <w:spacing w:before="0" w:after="0" w:line="360" w:lineRule="auto"/>
        <w:ind w:left="0" w:right="0"/>
        <w:rPr>
          <w:rFonts w:ascii="宋体" w:hAnsi="宋体"/>
          <w:color w:val="auto"/>
          <w:sz w:val="21"/>
          <w:szCs w:val="21"/>
          <w:highlight w:val="none"/>
        </w:rPr>
      </w:pPr>
    </w:p>
    <w:p>
      <w:pPr>
        <w:pStyle w:val="5"/>
        <w:rPr>
          <w:rFonts w:ascii="宋体" w:hAnsi="宋体"/>
          <w:b w:val="0"/>
          <w:color w:val="auto"/>
          <w:sz w:val="21"/>
          <w:szCs w:val="21"/>
          <w:highlight w:val="none"/>
        </w:rPr>
      </w:pPr>
      <w:bookmarkStart w:id="139" w:name="_Toc92268621"/>
      <w:r>
        <w:rPr>
          <w:rFonts w:ascii="宋体" w:hAnsi="宋体"/>
          <w:b w:val="0"/>
          <w:color w:val="auto"/>
          <w:highlight w:val="none"/>
        </w:rPr>
        <w:t>1</w:t>
      </w:r>
      <w:r>
        <w:rPr>
          <w:rFonts w:hint="eastAsia" w:ascii="宋体" w:hAnsi="宋体"/>
          <w:b w:val="0"/>
          <w:color w:val="auto"/>
          <w:highlight w:val="none"/>
        </w:rPr>
        <w:t>.税率确认函</w:t>
      </w:r>
      <w:bookmarkEnd w:id="139"/>
    </w:p>
    <w:p>
      <w:pPr>
        <w:pStyle w:val="5"/>
        <w:rPr>
          <w:rFonts w:ascii="宋体" w:hAnsi="宋体"/>
          <w:b w:val="0"/>
          <w:color w:val="auto"/>
          <w:highlight w:val="none"/>
        </w:rPr>
      </w:pPr>
      <w:bookmarkStart w:id="140" w:name="_Toc92268622"/>
      <w:r>
        <w:rPr>
          <w:rFonts w:hint="eastAsia" w:ascii="宋体" w:hAnsi="宋体"/>
          <w:b w:val="0"/>
          <w:color w:val="auto"/>
          <w:highlight w:val="none"/>
        </w:rPr>
        <w:t>2.中选文件分项报价表</w:t>
      </w:r>
      <w:bookmarkEnd w:id="140"/>
    </w:p>
    <w:p>
      <w:pPr>
        <w:pStyle w:val="5"/>
        <w:rPr>
          <w:rFonts w:ascii="宋体" w:hAnsi="宋体"/>
          <w:b w:val="0"/>
          <w:color w:val="auto"/>
          <w:highlight w:val="none"/>
        </w:rPr>
      </w:pPr>
      <w:bookmarkStart w:id="141" w:name="_Toc92268623"/>
      <w:r>
        <w:rPr>
          <w:rFonts w:hint="eastAsia" w:ascii="宋体" w:hAnsi="宋体"/>
          <w:b w:val="0"/>
          <w:color w:val="auto"/>
          <w:highlight w:val="none"/>
        </w:rPr>
        <w:t>3.含税分项报价汇总表</w:t>
      </w:r>
      <w:bookmarkEnd w:id="141"/>
    </w:p>
    <w:p>
      <w:pPr>
        <w:pStyle w:val="5"/>
        <w:rPr>
          <w:color w:val="auto"/>
          <w:highlight w:val="none"/>
        </w:rPr>
      </w:pPr>
      <w:r>
        <w:rPr>
          <w:rFonts w:hint="eastAsia" w:ascii="宋体" w:hAnsi="宋体"/>
          <w:b w:val="0"/>
          <w:color w:val="auto"/>
          <w:highlight w:val="none"/>
        </w:rPr>
        <w:t>4.含税分项分线报价表</w:t>
      </w:r>
    </w:p>
    <w:p>
      <w:pPr>
        <w:pStyle w:val="52"/>
        <w:adjustRightInd/>
        <w:spacing w:before="0" w:after="0" w:line="360" w:lineRule="auto"/>
        <w:ind w:left="0" w:right="0"/>
        <w:rPr>
          <w:rFonts w:ascii="宋体" w:hAnsi="宋体"/>
          <w:color w:val="auto"/>
          <w:sz w:val="21"/>
          <w:szCs w:val="21"/>
          <w:highlight w:val="none"/>
        </w:rPr>
      </w:pPr>
    </w:p>
    <w:p>
      <w:pPr>
        <w:pageBreakBefore/>
        <w:spacing w:before="0" w:after="0" w:afterAutospacing="0"/>
        <w:ind w:right="0"/>
        <w:outlineLvl w:val="2"/>
        <w:rPr>
          <w:rFonts w:ascii="宋体" w:hAnsi="宋体"/>
          <w:b/>
          <w:color w:val="auto"/>
          <w:sz w:val="24"/>
          <w:szCs w:val="24"/>
          <w:highlight w:val="none"/>
        </w:rPr>
      </w:pPr>
      <w:r>
        <w:rPr>
          <w:rFonts w:hint="eastAsia" w:ascii="宋体" w:hAnsi="宋体"/>
          <w:b/>
          <w:color w:val="auto"/>
          <w:sz w:val="24"/>
          <w:szCs w:val="24"/>
          <w:highlight w:val="none"/>
        </w:rPr>
        <w:t>附件3.1 含税分项报价汇总表</w:t>
      </w:r>
    </w:p>
    <w:p>
      <w:pPr>
        <w:spacing w:before="0" w:after="0" w:afterAutospacing="0"/>
        <w:ind w:right="0" w:firstLine="0"/>
        <w:jc w:val="center"/>
        <w:rPr>
          <w:rFonts w:ascii="宋体" w:hAnsi="宋体"/>
          <w:b/>
          <w:color w:val="auto"/>
          <w:sz w:val="24"/>
          <w:szCs w:val="24"/>
          <w:highlight w:val="none"/>
        </w:rPr>
      </w:pPr>
      <w:r>
        <w:rPr>
          <w:rFonts w:hint="eastAsia" w:ascii="宋体" w:hAnsi="宋体"/>
          <w:b/>
          <w:color w:val="auto"/>
          <w:sz w:val="24"/>
          <w:szCs w:val="24"/>
          <w:highlight w:val="none"/>
        </w:rPr>
        <w:t>含税分项报价汇总表</w:t>
      </w:r>
    </w:p>
    <w:p>
      <w:pPr>
        <w:spacing w:before="0" w:after="0" w:afterAutospacing="0"/>
        <w:ind w:left="0" w:right="0" w:firstLine="0"/>
        <w:rPr>
          <w:rFonts w:ascii="宋体" w:hAnsi="宋体"/>
          <w:color w:val="auto"/>
          <w:highlight w:val="none"/>
        </w:rPr>
      </w:pPr>
    </w:p>
    <w:tbl>
      <w:tblPr>
        <w:tblStyle w:val="26"/>
        <w:tblW w:w="7780" w:type="dxa"/>
        <w:jc w:val="center"/>
        <w:tblLayout w:type="fixed"/>
        <w:tblCellMar>
          <w:top w:w="0" w:type="dxa"/>
          <w:left w:w="108" w:type="dxa"/>
          <w:bottom w:w="0" w:type="dxa"/>
          <w:right w:w="108" w:type="dxa"/>
        </w:tblCellMar>
      </w:tblPr>
      <w:tblGrid>
        <w:gridCol w:w="594"/>
        <w:gridCol w:w="639"/>
        <w:gridCol w:w="639"/>
        <w:gridCol w:w="639"/>
        <w:gridCol w:w="639"/>
        <w:gridCol w:w="538"/>
        <w:gridCol w:w="525"/>
        <w:gridCol w:w="851"/>
        <w:gridCol w:w="694"/>
        <w:gridCol w:w="582"/>
        <w:gridCol w:w="638"/>
        <w:gridCol w:w="802"/>
      </w:tblGrid>
      <w:tr>
        <w:tblPrEx>
          <w:tblCellMar>
            <w:top w:w="0" w:type="dxa"/>
            <w:left w:w="108" w:type="dxa"/>
            <w:bottom w:w="0" w:type="dxa"/>
            <w:right w:w="108" w:type="dxa"/>
          </w:tblCellMar>
        </w:tblPrEx>
        <w:trPr>
          <w:trHeight w:val="438" w:hRule="atLeast"/>
          <w:jc w:val="center"/>
        </w:trPr>
        <w:tc>
          <w:tcPr>
            <w:tcW w:w="59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合同清单序号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货物名称</w:t>
            </w:r>
          </w:p>
        </w:tc>
        <w:tc>
          <w:tcPr>
            <w:tcW w:w="639"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品牌或厂家</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规格型号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性能参数</w:t>
            </w:r>
          </w:p>
        </w:tc>
        <w:tc>
          <w:tcPr>
            <w:tcW w:w="5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单位</w:t>
            </w:r>
          </w:p>
        </w:tc>
        <w:tc>
          <w:tcPr>
            <w:tcW w:w="525"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总数量①</w:t>
            </w:r>
          </w:p>
        </w:tc>
        <w:tc>
          <w:tcPr>
            <w:tcW w:w="851"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不含税单价(元)②</w:t>
            </w:r>
          </w:p>
        </w:tc>
        <w:tc>
          <w:tcPr>
            <w:tcW w:w="694"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不含税合价(元)③</w:t>
            </w:r>
          </w:p>
        </w:tc>
        <w:tc>
          <w:tcPr>
            <w:tcW w:w="582"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jc w:val="center"/>
              <w:rPr>
                <w:rFonts w:ascii="宋体" w:hAnsi="宋体"/>
                <w:color w:val="auto"/>
                <w:sz w:val="15"/>
                <w:szCs w:val="15"/>
                <w:highlight w:val="none"/>
              </w:rPr>
            </w:pPr>
            <w:r>
              <w:rPr>
                <w:rFonts w:hint="eastAsia" w:ascii="宋体" w:hAnsi="宋体"/>
                <w:color w:val="auto"/>
                <w:sz w:val="15"/>
                <w:szCs w:val="15"/>
                <w:highlight w:val="none"/>
              </w:rPr>
              <w:t>税率④</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含税单价(元) ⑤=②×④</w:t>
            </w:r>
          </w:p>
        </w:tc>
        <w:tc>
          <w:tcPr>
            <w:tcW w:w="80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含税合价(元)⑥=⑤×①</w:t>
            </w:r>
          </w:p>
        </w:tc>
      </w:tr>
      <w:tr>
        <w:tblPrEx>
          <w:tblCellMar>
            <w:top w:w="0" w:type="dxa"/>
            <w:left w:w="108" w:type="dxa"/>
            <w:bottom w:w="0" w:type="dxa"/>
            <w:right w:w="108" w:type="dxa"/>
          </w:tblCellMar>
        </w:tblPrEx>
        <w:trPr>
          <w:trHeight w:val="322" w:hRule="atLeast"/>
          <w:jc w:val="center"/>
        </w:trPr>
        <w:tc>
          <w:tcPr>
            <w:tcW w:w="59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left w:val="single" w:color="auto" w:sz="4" w:space="0"/>
              <w:bottom w:val="single" w:color="auto" w:sz="4" w:space="0"/>
              <w:right w:val="single" w:color="auto" w:sz="4" w:space="0"/>
            </w:tcBorders>
            <w:shd w:val="clear" w:color="000000" w:fill="F2F2F2"/>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5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525"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851"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94"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582" w:type="dxa"/>
            <w:vMerge w:val="continue"/>
            <w:tcBorders>
              <w:left w:val="single" w:color="auto" w:sz="4" w:space="0"/>
              <w:bottom w:val="single" w:color="000000" w:sz="4" w:space="0"/>
              <w:right w:val="single" w:color="auto" w:sz="4" w:space="0"/>
            </w:tcBorders>
            <w:shd w:val="clear" w:color="000000" w:fill="F2F2F2"/>
          </w:tcPr>
          <w:p>
            <w:pPr>
              <w:spacing w:line="240" w:lineRule="auto"/>
              <w:ind w:left="0" w:firstLine="0"/>
              <w:rPr>
                <w:rFonts w:ascii="宋体" w:hAnsi="宋体"/>
                <w:color w:val="auto"/>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80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25"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82"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82"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82"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82"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小计</w:t>
            </w:r>
          </w:p>
        </w:tc>
        <w:tc>
          <w:tcPr>
            <w:tcW w:w="6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5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52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9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58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ascii="宋体" w:hAnsi="宋体"/>
                <w:color w:val="auto"/>
                <w:sz w:val="18"/>
                <w:szCs w:val="18"/>
                <w:highlight w:val="none"/>
              </w:rPr>
              <w:t>………</w:t>
            </w: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5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52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9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58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合计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5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52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9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58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同一规格、型号的货物、材料在各分项报价中应为同一单价。投标人对每种货物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numPr>
          <w:ilvl w:val="0"/>
          <w:numId w:val="1"/>
        </w:numPr>
        <w:spacing w:before="0" w:after="0" w:afterAutospacing="0"/>
        <w:ind w:left="0" w:right="0" w:firstLine="0"/>
        <w:rPr>
          <w:rFonts w:ascii="宋体" w:hAnsi="宋体"/>
          <w:color w:val="auto"/>
          <w:highlight w:val="none"/>
        </w:rPr>
      </w:pPr>
      <w:r>
        <w:rPr>
          <w:rFonts w:hint="eastAsia" w:ascii="宋体" w:hAnsi="宋体"/>
          <w:color w:val="auto"/>
          <w:highlight w:val="none"/>
        </w:rPr>
        <w:t>含税价格计算保留小数点后两位，含税合价为单价与数量的乘积，合同总价为分项合价之和。</w:t>
      </w:r>
    </w:p>
    <w:p>
      <w:pPr>
        <w:numPr>
          <w:ilvl w:val="0"/>
          <w:numId w:val="1"/>
        </w:numPr>
        <w:spacing w:before="0" w:after="0" w:afterAutospacing="0"/>
        <w:ind w:left="0" w:right="0" w:firstLine="0"/>
        <w:rPr>
          <w:rFonts w:ascii="宋体" w:hAnsi="宋体"/>
          <w:color w:val="auto"/>
          <w:highlight w:val="none"/>
        </w:rPr>
      </w:pPr>
      <w:r>
        <w:rPr>
          <w:rFonts w:hint="eastAsia" w:ascii="宋体" w:hAnsi="宋体"/>
          <w:color w:val="auto"/>
          <w:highlight w:val="none"/>
        </w:rPr>
        <w:t>本表仅依据中标不含税价格及乙方《税率确认函》内容补充了含税价格，其他内容按中标人中标文件的分项报价表执行。</w:t>
      </w:r>
    </w:p>
    <w:p>
      <w:pPr>
        <w:spacing w:before="0" w:after="0" w:afterAutospacing="0"/>
        <w:ind w:right="0" w:firstLine="0"/>
        <w:jc w:val="center"/>
        <w:rPr>
          <w:rFonts w:ascii="宋体" w:hAnsi="宋体"/>
          <w:b/>
          <w:color w:val="auto"/>
          <w:sz w:val="24"/>
          <w:szCs w:val="24"/>
          <w:highlight w:val="none"/>
        </w:rPr>
      </w:pPr>
    </w:p>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p>
    <w:p>
      <w:pPr>
        <w:spacing w:before="0" w:after="0" w:afterAutospacing="0"/>
        <w:ind w:right="0"/>
        <w:rPr>
          <w:rFonts w:ascii="宋体" w:hAnsi="宋体"/>
          <w:color w:val="auto"/>
          <w:highlight w:val="none"/>
        </w:rPr>
      </w:pPr>
    </w:p>
    <w:p>
      <w:pPr>
        <w:spacing w:before="0" w:after="0"/>
        <w:ind w:left="699" w:leftChars="333" w:right="0" w:firstLine="930" w:firstLineChars="441"/>
        <w:rPr>
          <w:rFonts w:ascii="宋体" w:hAnsi="宋体"/>
          <w:b/>
          <w:color w:val="auto"/>
          <w:highlight w:val="none"/>
        </w:rPr>
      </w:pPr>
    </w:p>
    <w:p>
      <w:pPr>
        <w:spacing w:before="0" w:after="0"/>
        <w:ind w:left="699" w:leftChars="333" w:right="0" w:firstLine="930" w:firstLineChars="441"/>
        <w:rPr>
          <w:rFonts w:ascii="宋体" w:hAnsi="宋体"/>
          <w:b/>
          <w:color w:val="auto"/>
          <w:highlight w:val="none"/>
          <w:u w:val="single"/>
        </w:rPr>
      </w:pPr>
    </w:p>
    <w:p>
      <w:pPr>
        <w:pageBreakBefore/>
        <w:spacing w:before="0"/>
        <w:ind w:left="811" w:right="0" w:hanging="811" w:hangingChars="338"/>
        <w:jc w:val="center"/>
        <w:outlineLvl w:val="1"/>
        <w:rPr>
          <w:rFonts w:ascii="宋体" w:hAnsi="宋体"/>
          <w:color w:val="auto"/>
          <w:sz w:val="24"/>
          <w:szCs w:val="24"/>
          <w:highlight w:val="none"/>
        </w:rPr>
      </w:pPr>
      <w:bookmarkStart w:id="142" w:name="_Toc101965692"/>
      <w:bookmarkStart w:id="143" w:name="_Toc16006"/>
      <w:bookmarkStart w:id="144" w:name="_Toc20484"/>
      <w:bookmarkStart w:id="145" w:name="_Toc12080"/>
      <w:bookmarkStart w:id="146" w:name="_Toc22880"/>
      <w:bookmarkStart w:id="147" w:name="_Toc390098464"/>
      <w:bookmarkStart w:id="148" w:name="_Toc2614"/>
      <w:bookmarkStart w:id="149" w:name="_Toc12256"/>
      <w:bookmarkStart w:id="150" w:name="_Toc10730"/>
      <w:bookmarkStart w:id="151" w:name="_Toc7961"/>
      <w:bookmarkStart w:id="152" w:name="_Toc43"/>
      <w:bookmarkStart w:id="153" w:name="_Toc25750635"/>
      <w:bookmarkStart w:id="154" w:name="_Toc31691"/>
      <w:bookmarkStart w:id="155" w:name="_Toc370933855"/>
      <w:bookmarkStart w:id="156" w:name="_Toc19920"/>
      <w:bookmarkStart w:id="157" w:name="_Toc385427838"/>
      <w:bookmarkStart w:id="158" w:name="_Toc14287"/>
      <w:bookmarkStart w:id="159" w:name="_Toc28024"/>
      <w:bookmarkStart w:id="160" w:name="_Toc492478763"/>
      <w:bookmarkStart w:id="161" w:name="_Toc29932"/>
      <w:bookmarkStart w:id="162" w:name="_Toc15707"/>
      <w:bookmarkStart w:id="163" w:name="_Toc378514952"/>
      <w:bookmarkStart w:id="164" w:name="_Toc4032"/>
      <w:bookmarkStart w:id="165" w:name="_Toc25643"/>
      <w:bookmarkStart w:id="166" w:name="_Toc18727"/>
      <w:bookmarkStart w:id="167" w:name="_Toc6054"/>
      <w:r>
        <w:rPr>
          <w:rFonts w:hint="eastAsia" w:ascii="宋体" w:hAnsi="宋体"/>
          <w:color w:val="auto"/>
          <w:sz w:val="24"/>
          <w:szCs w:val="24"/>
          <w:highlight w:val="none"/>
        </w:rPr>
        <w:t>第四部分 合同条款</w:t>
      </w:r>
      <w:bookmarkEnd w:id="142"/>
      <w:bookmarkEnd w:id="143"/>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1.定义及解释</w:t>
      </w:r>
    </w:p>
    <w:p>
      <w:pPr>
        <w:numPr>
          <w:ilvl w:val="1"/>
          <w:numId w:val="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系指南宁轨道交通运营有限公司。</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“货物”系指乙方按招合同规定向甲方提供的货物、材料、机械、仪器仪表、工具、软件、手册及其它有关资料等。</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“备品备件”系指投标人须向招标人提供的用于系统维护、更换、修复的零部件、材料。</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“专用工具及仪器仪表”系指乙方人须向甲方提供的用于系统维护、更换、修复的专用工具及仪器仪表。</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系指招标文件规定乙方须承担的与供货有关的辅助服务，包括但不限于详细设计、设计联络、设备及材料的软硬件开发与制造、深化设计、</w:t>
      </w:r>
      <w:r>
        <w:rPr>
          <w:rFonts w:hint="eastAsia" w:ascii="宋体" w:hAnsi="宋体" w:cs="Arial"/>
          <w:color w:val="auto"/>
          <w:highlight w:val="none"/>
        </w:rPr>
        <w:t>系统集成、生产监造、</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工厂测试、出厂检验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消防验收、</w:t>
      </w:r>
      <w:r>
        <w:rPr>
          <w:rFonts w:hint="eastAsia" w:ascii="宋体" w:hAnsi="宋体"/>
          <w:color w:val="auto"/>
          <w:highlight w:val="none"/>
        </w:rPr>
        <w:t>试运行、竣工验收、试运营、最终验收、提供技术援助、项目管理、培训、质量保证期服务、备品备件和专用工具及仪器仪表的提供、质量保证期内的系统缺陷的纠正和维护、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并确保系统通过验收及按要求时间节点开通、</w:t>
      </w:r>
      <w:r>
        <w:rPr>
          <w:rFonts w:hint="eastAsia" w:ascii="宋体" w:hAnsi="宋体"/>
          <w:color w:val="auto"/>
          <w:highlight w:val="none"/>
        </w:rPr>
        <w:t>其他伴随服务和投标人应承担的其它义务。</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“税费”仅指增值税。其他税费应包含在不含税价格内。</w:t>
      </w:r>
    </w:p>
    <w:p>
      <w:pPr>
        <w:numPr>
          <w:ilvl w:val="2"/>
          <w:numId w:val="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“质量保证期”指合同货物验收合格后，乙方按合同约定保证合同货物正常使用，并负责解决合同货物存在的任何质量问题的期限。</w:t>
      </w:r>
    </w:p>
    <w:p>
      <w:pPr>
        <w:numPr>
          <w:ilvl w:val="2"/>
          <w:numId w:val="2"/>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2"/>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2"/>
        </w:numPr>
        <w:spacing w:before="0" w:after="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w:t>
      </w:r>
      <w:r>
        <w:rPr>
          <w:rFonts w:hint="eastAsia" w:ascii="宋体" w:hAnsi="宋体" w:cs="Arial"/>
          <w:b/>
          <w:color w:val="auto"/>
          <w:highlight w:val="none"/>
        </w:rPr>
        <w:t>南宁轨道交通运营有限公司</w:t>
      </w:r>
      <w:r>
        <w:rPr>
          <w:rFonts w:ascii="宋体" w:hAnsi="宋体" w:cs="Arial"/>
          <w:b/>
          <w:color w:val="auto"/>
          <w:highlight w:val="none"/>
        </w:rPr>
        <w:t>），相关费用包含在乙方的合同价款中，甲方不再另行支付。中华人民共和国强制检定的工作计量器具明细目录内的仪器仪表必须出具第三方计量检定报告。</w:t>
      </w:r>
    </w:p>
    <w:p>
      <w:pPr>
        <w:numPr>
          <w:ilvl w:val="2"/>
          <w:numId w:val="2"/>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“质保期”系指质量三包的期限。</w:t>
      </w:r>
    </w:p>
    <w:p>
      <w:pPr>
        <w:numPr>
          <w:ilvl w:val="2"/>
          <w:numId w:val="2"/>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“保质期”系指在特定的的贮存条件下，保持品质的期限。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1.1.23“腐败行为”是指提供、给予、接受或索取任何有价值的物品来影响公共官员在采购过程或合同实施过程中的行为；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1.1.24“欺诈行为”是指为了影响采购过程或合同实施过程而谎报事实的行为。</w:t>
      </w:r>
    </w:p>
    <w:p>
      <w:pPr>
        <w:numPr>
          <w:ilvl w:val="1"/>
          <w:numId w:val="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2.适用性</w:t>
      </w:r>
    </w:p>
    <w:p>
      <w:pPr>
        <w:numPr>
          <w:ilvl w:val="1"/>
          <w:numId w:val="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3.来源地</w:t>
      </w:r>
    </w:p>
    <w:p>
      <w:pPr>
        <w:numPr>
          <w:ilvl w:val="1"/>
          <w:numId w:val="4"/>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4"/>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货物和服务的来源地有别于乙方的国籍。</w:t>
      </w:r>
    </w:p>
    <w:p>
      <w:pPr>
        <w:numPr>
          <w:ilvl w:val="1"/>
          <w:numId w:val="4"/>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4.标准</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乙方应免费向甲方提供有关标准的文本。如果有关标准和文本不是中文，乙方须免费向甲方提供中文的译本，并对中文译本的真实性、完整性、准确性负责。</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5.合同文件、资料及使用</w:t>
      </w:r>
    </w:p>
    <w:p>
      <w:pPr>
        <w:numPr>
          <w:ilvl w:val="1"/>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6.知识产权</w:t>
      </w:r>
    </w:p>
    <w:p>
      <w:pPr>
        <w:numPr>
          <w:ilvl w:val="0"/>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7.价格</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7.1综合单价（不含增值税）固定不变，乙方根据甲方每批次交货通知中要求的货物种类、数量按时供货据实结算。乙方不得以任何理由予以合同价格上浮、上调、上涨，但如属经双方协商同意变更的情况除外，</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7.3合同金额：含税人民币</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），税率</w:t>
      </w:r>
      <w:r>
        <w:rPr>
          <w:rFonts w:hint="eastAsia" w:ascii="宋体" w:hAnsi="宋体"/>
          <w:color w:val="auto"/>
          <w:highlight w:val="none"/>
          <w:u w:val="single"/>
        </w:rPr>
        <w:t xml:space="preserve">  </w:t>
      </w:r>
      <w:r>
        <w:rPr>
          <w:rFonts w:hint="eastAsia" w:ascii="宋体" w:hAnsi="宋体"/>
          <w:color w:val="auto"/>
          <w:highlight w:val="none"/>
        </w:rPr>
        <w:t>%；不含税总金额：</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8.合同有效期</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无。</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9.付款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9.1甲方在收到由乙方提供的以下合格材料后60个工作日内按该批次验收合格货物金额的90%支付。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②乙方出具的支付申请材料。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③该批次货物供货通知。</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fldChar w:fldCharType="begin"/>
      </w:r>
      <w:r>
        <w:rPr>
          <w:rFonts w:hint="eastAsia" w:ascii="宋体" w:hAnsi="宋体" w:cs="Arial"/>
          <w:color w:val="auto"/>
          <w:highlight w:val="none"/>
        </w:rPr>
        <w:instrText xml:space="preserve"> = 4 \* GB3 \* MERGEFORMAT </w:instrText>
      </w:r>
      <w:r>
        <w:rPr>
          <w:rFonts w:hint="eastAsia" w:ascii="宋体" w:hAnsi="宋体" w:cs="Arial"/>
          <w:color w:val="auto"/>
          <w:highlight w:val="none"/>
        </w:rPr>
        <w:fldChar w:fldCharType="separate"/>
      </w:r>
      <w:r>
        <w:rPr>
          <w:color w:val="auto"/>
          <w:highlight w:val="none"/>
        </w:rPr>
        <w:t>④</w:t>
      </w:r>
      <w:r>
        <w:rPr>
          <w:rFonts w:hint="eastAsia" w:ascii="宋体" w:hAnsi="宋体" w:cs="Arial"/>
          <w:color w:val="auto"/>
          <w:highlight w:val="none"/>
        </w:rPr>
        <w:fldChar w:fldCharType="end"/>
      </w:r>
      <w:r>
        <w:rPr>
          <w:rFonts w:hint="eastAsia" w:ascii="宋体" w:hAnsi="宋体" w:cs="Arial"/>
          <w:color w:val="auto"/>
          <w:highlight w:val="none"/>
        </w:rPr>
        <w:t>该批次货物到货验收合格证明材料。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fldChar w:fldCharType="begin"/>
      </w:r>
      <w:r>
        <w:rPr>
          <w:rFonts w:hint="eastAsia" w:ascii="宋体" w:hAnsi="宋体" w:cs="Arial"/>
          <w:color w:val="auto"/>
          <w:highlight w:val="none"/>
        </w:rPr>
        <w:instrText xml:space="preserve"> = 5 \* GB3 \* MERGEFORMAT </w:instrText>
      </w:r>
      <w:r>
        <w:rPr>
          <w:rFonts w:hint="eastAsia" w:ascii="宋体" w:hAnsi="宋体" w:cs="Arial"/>
          <w:color w:val="auto"/>
          <w:highlight w:val="none"/>
        </w:rPr>
        <w:fldChar w:fldCharType="separate"/>
      </w:r>
      <w:r>
        <w:rPr>
          <w:rFonts w:hint="eastAsia" w:ascii="宋体" w:hAnsi="宋体" w:cs="Arial"/>
          <w:color w:val="auto"/>
          <w:highlight w:val="none"/>
        </w:rPr>
        <w:t>⑤</w:t>
      </w:r>
      <w:r>
        <w:rPr>
          <w:rFonts w:hint="eastAsia" w:ascii="宋体" w:hAnsi="宋体" w:cs="Arial"/>
          <w:color w:val="auto"/>
          <w:highlight w:val="none"/>
        </w:rPr>
        <w:fldChar w:fldCharType="end"/>
      </w:r>
      <w:r>
        <w:rPr>
          <w:rFonts w:hint="eastAsia" w:ascii="宋体" w:hAnsi="宋体" w:cs="Arial"/>
          <w:color w:val="auto"/>
          <w:highlight w:val="none"/>
        </w:rPr>
        <w:t>违约情况及处理证明材料（如有）。</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9.2全部货物到货并验收合格后，乙方根据甲方要求完成档案归档及合同结算经甲方审定后，甲方在收到乙方提供的以下材料后60个工作日内支付至合同最终结算审定金额的95%。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③结算审定资料。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④全部货物供货通知。</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⑤全部货物到货验收合格证明。</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9.3全部货物质保期满，经甲方确认所有批次产品均无质量问题或乙方已更换有质量问题产品经甲方确认合格后，甲方在收到由乙方提供的以下材料后60个工作日内支付结算审定金额的剩余价款。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①乙方出具的支付申请。</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②双方确认的质保服务合格证明材料。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③结算审定单。</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9.5支付的货币应以人民币支付，但不限于银行转账、汇票、国内信用证、供应链金融产品等支付形式。</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9.</w:t>
      </w:r>
      <w:r>
        <w:rPr>
          <w:rFonts w:ascii="宋体" w:hAnsi="宋体" w:cs="Arial"/>
          <w:color w:val="auto"/>
          <w:highlight w:val="none"/>
        </w:rPr>
        <w:t>6</w:t>
      </w:r>
      <w:r>
        <w:rPr>
          <w:rFonts w:hint="eastAsia" w:ascii="宋体" w:hAnsi="宋体" w:cs="Arial"/>
          <w:color w:val="auto"/>
          <w:highlight w:val="none"/>
        </w:rPr>
        <w:t>结算需满足以下条件：</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（1）达到合同第26条约定的“合同终止”条件。</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（2）乙方根据甲方要求完成项目档案归档。</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（3）供货金额累计达到合同金额的100%（含）。</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（4）乙方按照甲方的结算管理办法提供如下合格材料，并经甲方审核无误：</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①甲方管理办法规定的结算审核套表。</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②全部货物供货通知。</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③全部货物到货验收合格证明材料。</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④合同约定的其他证明资料（如违约情况及处理证明材料）。</w:t>
      </w:r>
    </w:p>
    <w:p>
      <w:pPr>
        <w:tabs>
          <w:tab w:val="left" w:pos="1134"/>
          <w:tab w:val="left" w:pos="8364"/>
        </w:tabs>
        <w:spacing w:before="0" w:after="0" w:afterAutospacing="0"/>
        <w:ind w:left="420" w:leftChars="200" w:right="0" w:firstLine="0"/>
        <w:rPr>
          <w:rFonts w:ascii="宋体" w:hAnsi="宋体"/>
          <w:b/>
          <w:color w:val="auto"/>
          <w:highlight w:val="none"/>
        </w:rPr>
      </w:pPr>
      <w:r>
        <w:rPr>
          <w:rFonts w:hint="eastAsia" w:ascii="宋体" w:hAnsi="宋体"/>
          <w:b/>
          <w:color w:val="auto"/>
          <w:highlight w:val="none"/>
        </w:rPr>
        <w:t>10.履约担保</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10.1在合同签订前，乙方应向甲方提供履约保证金，履约保证金的金额为中标价格的5%，币种应为人民币。</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10.2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10.3履约保证金应从生效之日起至全部货物验收合格之日后四十五（45）天一直有效。如本项目实际全部货物验收合格日期超出该履约保证金写明的日期，则乙方应相应延长履约保证金的日期，当出现逾期交货或合同延期履行而未及时办理保函续期手续时，延期超过30天的，以30天后开始计算，每天收取合同总价0.5‰的违约金，违约金额达到合同金额的5％，甲方有权暂停剩余费用的支付和解除合同。</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10.4乙方提交履约保证金所产生的费用由乙方承担。</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10.5如果在交货期内乙方不能履行其在合同项下的义务，则乙方应承担相应的违约责任，同时甲方有权用履约保证金的资金补偿其任何损失或有权通过银行保函追索，但其剩余的履约保证金仍应满足中标价格5%，乙方应在期限内及时补足担保金额，每逾期一天，按照应补未补部分的万分之五向甲方支付违约金，甲方有权在货款中扣减。</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10.6履约保证金在本合同全部货物验收合格之日起四十五（45）天后，根据履约期间甲方的索赔情况，将剩余履约保证金款项无息退还乙方。</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10.7若发生以下行为，甲方将不退还履约保证金：</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10.7.1在合同履行期间，乙方明确表示或者以自己的行为表明不履行主要义务的；</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10.7.2乙方迟延履行主要义务，经催告后在合理期限内仍未履行的；</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10.7.3乙方履行的义务不符合合同约定，经甲方催告后未在合理期限内整改完毕的；</w:t>
      </w:r>
    </w:p>
    <w:p>
      <w:pPr>
        <w:keepNext w:val="0"/>
        <w:keepLines w:val="0"/>
        <w:pageBreakBefore w:val="0"/>
        <w:widowControl/>
        <w:tabs>
          <w:tab w:val="left" w:pos="640"/>
          <w:tab w:val="left" w:pos="1843"/>
        </w:tabs>
        <w:kinsoku/>
        <w:wordWrap/>
        <w:overflowPunct/>
        <w:topLinePunct w:val="0"/>
        <w:autoSpaceDE/>
        <w:autoSpaceDN/>
        <w:bidi w:val="0"/>
        <w:adjustRightInd/>
        <w:snapToGrid/>
        <w:spacing w:before="0" w:after="0" w:afterAutospacing="0"/>
        <w:ind w:left="0" w:right="0" w:firstLine="420" w:firstLineChars="200"/>
        <w:textAlignment w:val="auto"/>
        <w:outlineLvl w:val="2"/>
        <w:rPr>
          <w:rFonts w:hint="eastAsia" w:ascii="宋体" w:hAnsi="宋体" w:cs="Arial"/>
          <w:color w:val="auto"/>
          <w:highlight w:val="none"/>
        </w:rPr>
      </w:pPr>
      <w:r>
        <w:rPr>
          <w:rFonts w:hint="eastAsia" w:ascii="宋体" w:hAnsi="宋体" w:cs="Arial"/>
          <w:color w:val="auto"/>
          <w:highlight w:val="none"/>
        </w:rPr>
        <w:t>10.7.4乙方其他违约行为导致合同解除或终止的。</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11.检验</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11.5技术规格书规定要求计量检定检验的物资，交货时每件货物均须提供检验报告、并粘贴检定/校准合格标签；检验报告须为有国家计量认证资质（CMA）的第三方机构出具的原件，检验委托方为“南宁轨道交通运营有限公司”，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11.6技术规格书规定要求绝缘耐压检验的物资，交货时每件货物均须提供具有国家认定检验资质的第三方检验机构出具的绝缘耐压检验报告原件，检验委托方为“南宁轨道交通运营有限公司”，检验产生的所有费用包含在项目报价中。</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11.7任何情况下均不能免除和减轻乙方在本合同项下的保证义务或其他义务。</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11.8上述检验所发生的一切费用已包含在合同价格中，甲方不另行支付。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11.9乙方负责的部分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乙方应协助甲方组织有关联调、验收工作。</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11.10甲方负责的部分</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甲方参加到货检查、开箱检验等工作直至全部货物验收合格。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11.11凡合同规定在乙方和/或其零部件供应商所在地进行检验时，乙方应提供为有效地进行检验所必需的帮助、装置和仪器。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11.12检验和验收过程中涉及的赔偿条款在合同条款第25条中规定。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11.13在任何情况下，任何检验和验收的结果均不免除乙方的合同责任。</w:t>
      </w:r>
    </w:p>
    <w:p>
      <w:pPr>
        <w:tabs>
          <w:tab w:val="left" w:pos="1134"/>
          <w:tab w:val="left" w:pos="8364"/>
        </w:tabs>
        <w:spacing w:before="0" w:after="0" w:afterAutospacing="0"/>
        <w:ind w:left="0" w:right="0" w:firstLine="420" w:firstLineChars="200"/>
        <w:rPr>
          <w:rFonts w:ascii="宋体" w:hAnsi="宋体"/>
          <w:b/>
          <w:color w:val="auto"/>
          <w:highlight w:val="none"/>
        </w:rPr>
      </w:pPr>
      <w:r>
        <w:rPr>
          <w:rFonts w:hint="eastAsia" w:ascii="宋体" w:hAnsi="宋体" w:cs="Arial"/>
          <w:color w:val="auto"/>
          <w:highlight w:val="none"/>
        </w:rPr>
        <w:t>1</w:t>
      </w:r>
      <w:r>
        <w:rPr>
          <w:rFonts w:hint="eastAsia" w:ascii="宋体" w:hAnsi="宋体"/>
          <w:b/>
          <w:color w:val="auto"/>
          <w:highlight w:val="none"/>
        </w:rPr>
        <w:t>2.包装</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12.1乙方应在每一包装箱的适当位置作出下列标记：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a.收货人；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b.货物名称、件数；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c.毛重、净重；</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d.体积（长×宽×高，用毫米表示）。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12.2乙方应按照货物的特点及装卸和运输上的不同要求，包装箱上应明显印刷有“轻放”、“勿倒置”和“防雨”等字样，危险品包装应有警示标志。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12.4包装、标记和包装箱内外的单据应严格符合合同的要求，包括甲方后来发出的指示。</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12.6乙方在包装货物时应考虑甲方现场实际条件。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12.7各种货物的松散零部件应采用好的包装方式，装入尺寸适当的箱内。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12.8对于裸装货物，乙方应采取特殊措施保护货物及方便搬运。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13.交货和单据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13.1交货期：</w:t>
      </w:r>
      <w:r>
        <w:rPr>
          <w:rFonts w:hint="eastAsia" w:ascii="宋体" w:hAnsi="宋体"/>
          <w:color w:val="auto"/>
          <w:highlight w:val="none"/>
          <w:u w:val="single"/>
        </w:rPr>
        <w:t xml:space="preserve"> 90天 </w:t>
      </w:r>
      <w:r>
        <w:rPr>
          <w:rFonts w:hint="eastAsia" w:ascii="宋体" w:hAnsi="宋体" w:cs="Arial"/>
          <w:color w:val="auto"/>
          <w:highlight w:val="none"/>
        </w:rPr>
        <w:t>,以交货通知发出起算。如遇春节期间，交货期可适当延长，但不得超过4个月，具体按交货通知为准。</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13.2甲方在合同签订后</w:t>
      </w:r>
      <w:r>
        <w:rPr>
          <w:rFonts w:hint="eastAsia" w:ascii="宋体" w:hAnsi="宋体"/>
          <w:color w:val="auto"/>
          <w:highlight w:val="none"/>
          <w:u w:val="single"/>
        </w:rPr>
        <w:t xml:space="preserve"> （填写） </w:t>
      </w:r>
      <w:r>
        <w:rPr>
          <w:rFonts w:hint="eastAsia" w:ascii="宋体" w:hAnsi="宋体" w:cs="Arial"/>
          <w:color w:val="auto"/>
          <w:highlight w:val="none"/>
        </w:rPr>
        <w:t>天内或交货前</w:t>
      </w:r>
      <w:r>
        <w:rPr>
          <w:rFonts w:hint="eastAsia" w:ascii="宋体" w:hAnsi="宋体"/>
          <w:color w:val="auto"/>
          <w:highlight w:val="none"/>
          <w:u w:val="single"/>
        </w:rPr>
        <w:t xml:space="preserve"> （填写） </w:t>
      </w:r>
      <w:r>
        <w:rPr>
          <w:rFonts w:hint="eastAsia" w:ascii="宋体" w:hAnsi="宋体" w:cs="Arial"/>
          <w:color w:val="auto"/>
          <w:highlight w:val="none"/>
        </w:rPr>
        <w:t>天，甲方向乙方发出交货通知。</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13.3乙方应负责将合同货物在双方约定的交货期内运抵甲方指定地点。乙方负责交货地点的卸货和现场存放点的就位。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13.4乙方应负责将货物交到合同规定的交货地点并负责货物交到交货地点的一切费用，包括运输、装卸、保险、仓储等费用。乙方应提供的装运细节和/或其他单据执行合同条款的具体规定。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13.5如果甲方采购的货物不能按计划进行现场交接，乙方应将货物在其南宁市仓储场所内进行临时保管。乙方应提交的单据执行合同条款的具体规定。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14.所有权与风险转移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14.3在拒收情况下，或者解除合同的，货物毁损、灭失的风险由乙方承担。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15.运输</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15.1乙方应在任何货物运送至甲方指定现场日期前7天通知甲方。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15.2乙方按照甲方的要求负责将货物运至甲方指定地点，并负责办理货物运至前述交货地点全过程中的所有事项，包括保险、中转、装卸和在货物开箱验收合格前的仓储，上述费用已包括在合同价中。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16.服务</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16.1乙方提供的服务的费用已含在合同价格中。</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16.2乙方须按甲方要求提供下列服务，且所有服务的费用由乙方承担：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（1）提供货物组装和维修所需的专用工具和软件。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（2）为所供货物提供详细的操作和维护手册。</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（3）合同条款第二部分1.1.10所提及的所有服务内容，但前提条件是该服务并不能免除乙方所承担的义务。</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17.保证</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17.3.1乙方在收到通知后按合同规定期限免费维修或更换有缺陷的货物或部件；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17.4乙方保证给予甲方人员在制造商工厂检查其质保体系和生产流程的任一环节提供方便。</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17.5质量保证期</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17.5.1正常质量保证期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highlight w:val="none"/>
        </w:rPr>
        <w:t>1</w:t>
      </w:r>
      <w:r>
        <w:rPr>
          <w:rFonts w:hint="eastAsia" w:ascii="宋体" w:hAnsi="宋体"/>
          <w:b/>
          <w:color w:val="auto"/>
          <w:highlight w:val="none"/>
        </w:rPr>
        <w:t>7</w:t>
      </w:r>
      <w:r>
        <w:rPr>
          <w:rFonts w:ascii="宋体" w:hAnsi="宋体"/>
          <w:b/>
          <w:color w:val="auto"/>
          <w:highlight w:val="none"/>
        </w:rPr>
        <w:t xml:space="preserve">.5.1.1 </w:t>
      </w:r>
      <w:r>
        <w:rPr>
          <w:rFonts w:hint="eastAsia" w:ascii="宋体" w:hAnsi="宋体"/>
          <w:b/>
          <w:color w:val="auto"/>
          <w:highlight w:val="none"/>
        </w:rPr>
        <w:t>正常质量保证期为：自验收合格之日起</w:t>
      </w:r>
      <w:r>
        <w:rPr>
          <w:rFonts w:hint="eastAsia" w:ascii="宋体" w:hAnsi="宋体"/>
          <w:color w:val="auto"/>
          <w:highlight w:val="none"/>
          <w:u w:val="single"/>
        </w:rPr>
        <w:t xml:space="preserve"> 24 </w:t>
      </w:r>
      <w:r>
        <w:rPr>
          <w:rFonts w:hint="eastAsia" w:ascii="宋体" w:hAnsi="宋体"/>
          <w:b/>
          <w:color w:val="auto"/>
          <w:highlight w:val="none"/>
        </w:rPr>
        <w:t>个月</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2在正常质量保证期内，乙方应对在合同规定时间内出现或产生的缺陷或项目任何部分的损害，根据合同</w:t>
      </w:r>
      <w:r>
        <w:rPr>
          <w:rFonts w:ascii="宋体" w:hAnsi="宋体"/>
          <w:color w:val="auto"/>
          <w:highlight w:val="none"/>
        </w:rPr>
        <w:t>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u w:val="single"/>
        </w:rPr>
        <w:t xml:space="preserve"> （填写） </w:t>
      </w:r>
      <w:r>
        <w:rPr>
          <w:rFonts w:hint="eastAsia" w:ascii="宋体" w:hAnsi="宋体"/>
          <w:color w:val="auto"/>
          <w:highlight w:val="none"/>
        </w:rPr>
        <w:t>个月的质量保证期。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4本合同项下的货物（包含所有零部件）正常质量保证期</w:t>
      </w:r>
      <w:r>
        <w:rPr>
          <w:rFonts w:hint="eastAsia" w:ascii="宋体" w:hAnsi="宋体"/>
          <w:color w:val="auto"/>
          <w:highlight w:val="none"/>
          <w:u w:val="single"/>
        </w:rPr>
        <w:t xml:space="preserve"> 24 </w:t>
      </w:r>
      <w:r>
        <w:rPr>
          <w:rFonts w:hint="eastAsia" w:ascii="宋体" w:hAnsi="宋体"/>
          <w:color w:val="auto"/>
          <w:highlight w:val="none"/>
        </w:rPr>
        <w:t>个月，自验收合格之日起计算；提供免费上门维修（包含所有配件的更换及服务）及保养服务，正常质量保证期内至少每季度巡检一次。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 xml:space="preserve">.5.1.5 </w:t>
      </w:r>
      <w:r>
        <w:rPr>
          <w:rFonts w:hint="eastAsia" w:ascii="宋体" w:hAnsi="宋体"/>
          <w:color w:val="auto"/>
          <w:highlight w:val="none"/>
        </w:rPr>
        <w:t>有保质期的产品，乙方所供货物的有效保质期必须大于整个保质期的</w:t>
      </w:r>
      <w:r>
        <w:rPr>
          <w:rFonts w:ascii="宋体" w:hAnsi="宋体"/>
          <w:color w:val="auto"/>
          <w:highlight w:val="none"/>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6质量保证期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17.10乙方还应保证合同项下所提供的服务包括设计、培训、调试和试验等，应按合同规定方式进行并保证不存在因乙方或其零部件供应商、代理商或代表或工作人员的过失、错误或疏忽而产生的缺陷。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18.合同变更与修改</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18.4.1合同项下提供的货物是专为甲方制造时，变更图纸、设计或规格；</w:t>
      </w:r>
    </w:p>
    <w:p>
      <w:pPr>
        <w:tabs>
          <w:tab w:val="left" w:pos="54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18.4.2乙方提供的货物数量；</w:t>
      </w:r>
    </w:p>
    <w:p>
      <w:pPr>
        <w:tabs>
          <w:tab w:val="left" w:pos="54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18.6合同变更时，买卖双方按下述方式确定调整货物合同价格：</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18.6.1对合同中已有项目的增加或删除，按合同已列明的货物单价计算调整合同价格；</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18.6.2对合同中已明确并有定价的选项及替代方案，按合同列明的相应的货物单价金额计算；</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18.6.3.1 根据合同规定的原则计出总价；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18.6.3.2 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18.6.3.3 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18.6.3.4 根据合同规定的相应成本确定；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18.6.3.5 根据当时的市场价格计算。</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18.7变更费用的确认：</w:t>
      </w:r>
    </w:p>
    <w:p>
      <w:pPr>
        <w:tabs>
          <w:tab w:val="left" w:pos="820"/>
        </w:tabs>
        <w:adjustRightInd w:val="0"/>
        <w:spacing w:before="0" w:after="0" w:afterAutospacing="0"/>
        <w:ind w:left="0" w:right="0" w:firstLine="420" w:firstLineChars="200"/>
        <w:rPr>
          <w:color w:val="auto"/>
          <w:highlight w:val="none"/>
        </w:rPr>
      </w:pPr>
      <w:r>
        <w:rPr>
          <w:rFonts w:hint="eastAsia" w:ascii="宋体" w:hAnsi="宋体"/>
          <w:color w:val="auto"/>
          <w:highlight w:val="none"/>
        </w:rPr>
        <w:t>18.7.1变更后的费用经甲乙双方协商确认后，如低于原合同价格，则按照变更后的费用</w:t>
      </w:r>
      <w:r>
        <w:rPr>
          <w:rFonts w:hint="eastAsia"/>
          <w:color w:val="auto"/>
          <w:highlight w:val="none"/>
        </w:rPr>
        <w:t>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18.8乙方必须在甲方按</w:t>
      </w:r>
      <w:r>
        <w:rPr>
          <w:rFonts w:ascii="宋体" w:hAnsi="宋体"/>
          <w:color w:val="auto"/>
          <w:highlight w:val="none"/>
        </w:rPr>
        <w:t>1</w:t>
      </w:r>
      <w:r>
        <w:rPr>
          <w:rFonts w:hint="eastAsia" w:ascii="宋体" w:hAnsi="宋体"/>
          <w:color w:val="auto"/>
          <w:highlight w:val="none"/>
        </w:rPr>
        <w:t>8</w:t>
      </w:r>
      <w:r>
        <w:rPr>
          <w:rFonts w:ascii="宋体" w:hAnsi="宋体"/>
          <w:color w:val="auto"/>
          <w:highlight w:val="none"/>
        </w:rPr>
        <w:t>.</w:t>
      </w:r>
      <w:r>
        <w:rPr>
          <w:rFonts w:hint="eastAsia" w:ascii="宋体" w:hAnsi="宋体"/>
          <w:color w:val="auto"/>
          <w:highlight w:val="none"/>
        </w:rPr>
        <w:t>5的预算为依据提出正式书面修改后才能开始实施这种变更。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18.9除非甲方书面提出，乙方不得对本项目进行任何变更。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18.10.2对进度计划或对本合同项下的乙方义务进行任何必要的修改建议；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18.10.3乙方对合同价格调整的建议及相关依据。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19.转让、分包和中止</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19.2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19.3如乙方具有以下情形的，甲方可以中止合同履行:</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(1)经营状况严重恶化；</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(2)转移财产、抽逃资金以逃避债务；</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(3)丧失商业信誉；</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(4)有丧失或者可能丧失履行债务能力的其他情形。</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20.不可抗力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20.7如果不可抗力的情况发生并因此根据合同法双方均被解除进一步履行合同，乙方的履约担保不被没收。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21.乙方履约展期</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21.1乙方应按合同条款中规定的交货计划交货。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21.2乙方在下列情况下可要求延期交货：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（1）第18条中的变更；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（2）第20条所述之不可抗力；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（3）甲方签发的延期执行合同的指令；</w:t>
      </w:r>
    </w:p>
    <w:p>
      <w:pPr>
        <w:pStyle w:val="21"/>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21.3乙方应努力避免或克服造成延迟的原因，双方应对克服延迟的补救措施达成共识。</w:t>
      </w:r>
    </w:p>
    <w:p>
      <w:pPr>
        <w:pStyle w:val="21"/>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21.4除非乙方立即书面通知甲方因第20.2条的情况可能造成延期，乙方无权延期；乙方要证实延迟非乙方造成。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22.通知</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22.2通知的内容包括合同项下的批复、意见、指令、说明和证据。</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23.合同标的</w:t>
      </w:r>
    </w:p>
    <w:p>
      <w:pPr>
        <w:tabs>
          <w:tab w:val="left" w:pos="960"/>
        </w:tabs>
        <w:spacing w:before="0" w:after="0" w:afterAutospacing="0"/>
        <w:ind w:left="420" w:right="0" w:firstLine="0"/>
        <w:rPr>
          <w:rFonts w:ascii="宋体" w:hAnsi="宋体"/>
          <w:color w:val="auto"/>
          <w:highlight w:val="none"/>
        </w:rPr>
      </w:pPr>
      <w:r>
        <w:rPr>
          <w:rFonts w:hint="eastAsia" w:ascii="宋体" w:hAnsi="宋体"/>
          <w:color w:val="auto"/>
          <w:highlight w:val="none"/>
        </w:rPr>
        <w:t>23.1合同生效后，买卖双方按合同约定提供本项目物资。</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23.5乙方应对本合同项下其承担的全部工作实施有效管理。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24.开箱验收及现场保管</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24.2甲方将在到货后10个工作日内组织验收。</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24.3乙方负责实施本合同条款所述事项并负担其产生的全部费用。</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24.4验收</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24.4.1乙方应于发货前7日书面通知甲方，根据双方协定时间地点进行交货并验收，验收合格之日起计算质量保证期。如需由乙方负责安装调试的，验收时间顺延至通过验收之日。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24.4.2货物验收时须同时满足以下各项标准及要求方为合格：</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（1）供货清单、质量合格证书（如有）、保修证书（如有）、产品使用说明书（如有）、甲方要求格式的原厂供货证明（如有）及其他应随产品一同装箱的技术资料；</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（2）该批次货物采购文件及本合同附件所涉及的质量、技术、服务及验收的相关内容。</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24.4.3验收标准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24.4.3.1甲方对货物制订的检验标准。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24.4.3.2以合格证书、技术性能参数、质量参数和国家质量标准作为对货物的检验标准。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24.4.3.4如需乙方负责安装调试的，还需按技术规格书要求安装调试合格。</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24.4.4若因乙方交付的货物不满足技术需求，并拒绝更换符合甲方技术需求的货物，甲方有权根据合同追究乙方违约责任。</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25</w:t>
      </w:r>
      <w:r>
        <w:rPr>
          <w:rFonts w:ascii="宋体" w:hAnsi="宋体"/>
          <w:b/>
          <w:color w:val="auto"/>
          <w:highlight w:val="none"/>
        </w:rPr>
        <w:t>.</w:t>
      </w:r>
      <w:r>
        <w:rPr>
          <w:rFonts w:hint="eastAsia" w:ascii="宋体" w:hAnsi="宋体"/>
          <w:b/>
          <w:color w:val="auto"/>
          <w:highlight w:val="none"/>
        </w:rPr>
        <w:t>索赔与赔偿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25.1短装索赔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25.1.3若索赔属于保险赔偿范围，则乙方应自行处理保险索赔，且不应影响本合同条款第25.1.2的执行.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25.2质量索赔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25.2.3修理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乙方应自费对有缺陷的货物进行修理，使之符合合同规定的技术要求。除甲方特别许可外，修理应在五（</w:t>
      </w:r>
      <w:r>
        <w:rPr>
          <w:rFonts w:ascii="宋体" w:hAnsi="宋体"/>
          <w:color w:val="auto"/>
          <w:highlight w:val="none"/>
        </w:rPr>
        <w:t>5</w:t>
      </w:r>
      <w:r>
        <w:rPr>
          <w:rFonts w:hint="eastAsia" w:ascii="宋体" w:hAnsi="宋体"/>
          <w:color w:val="auto"/>
          <w:highlight w:val="none"/>
        </w:rPr>
        <w:t>）天内完成。经修理的货物在验收合格后，甲方予以接受。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25.2.4替换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乙方应以全新及合格的货物替换有缺陷的货物，费用乙方自理。除甲方特别许可外，替换应在五（</w:t>
      </w:r>
      <w:r>
        <w:rPr>
          <w:rFonts w:ascii="宋体" w:hAnsi="宋体"/>
          <w:color w:val="auto"/>
          <w:highlight w:val="none"/>
        </w:rPr>
        <w:t>5</w:t>
      </w:r>
      <w:r>
        <w:rPr>
          <w:rFonts w:hint="eastAsia" w:ascii="宋体" w:hAnsi="宋体"/>
          <w:color w:val="auto"/>
          <w:highlight w:val="none"/>
        </w:rPr>
        <w:t>）天内完成。经替换的货物在验收合格后，甲方予以接受。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25.2.5退货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25.2.7在工厂检验和发运前检验时，若甲方检验人员已到乙方场地，而由于乙方原因使检验无法进行，由此引起导致的甲方人员在内的直接费用成本由乙方承担。</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25.3违约通知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25.4延迟违约金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除非买卖双方书面同意延迟交付使用外，若乙方未能按合同规定的或双方协商确定的交货期交付使用，则乙方应根据以下标准向甲方支付违约金：</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5.4.1甲方不得无正当理由拒收货物、拒付货款，若未按合同规定的期限向乙方支付货款，每逾期</w:t>
      </w:r>
      <w:r>
        <w:rPr>
          <w:rFonts w:ascii="宋体" w:hAnsi="宋体"/>
          <w:color w:val="auto"/>
          <w:highlight w:val="none"/>
        </w:rPr>
        <w:t>1天甲方向乙方偿付逾期付款部分总额的</w:t>
      </w:r>
      <w:r>
        <w:rPr>
          <w:rFonts w:hint="eastAsia" w:ascii="宋体" w:hAnsi="宋体"/>
          <w:color w:val="auto"/>
          <w:highlight w:val="none"/>
        </w:rPr>
        <w:t>0.1%/天的违约金。但累计违约金总额不超过逾期付款部分总额的</w:t>
      </w:r>
      <w:r>
        <w:rPr>
          <w:rFonts w:ascii="宋体" w:hAnsi="宋体"/>
          <w:color w:val="auto"/>
          <w:highlight w:val="none"/>
        </w:rPr>
        <w:t>5％。</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25.4</w:t>
      </w:r>
      <w:r>
        <w:rPr>
          <w:rFonts w:ascii="宋体" w:hAnsi="宋体"/>
          <w:color w:val="auto"/>
          <w:highlight w:val="none"/>
        </w:rPr>
        <w:t>.2</w:t>
      </w:r>
      <w:r>
        <w:rPr>
          <w:rFonts w:hint="eastAsia" w:ascii="宋体" w:hAnsi="宋体"/>
          <w:color w:val="auto"/>
          <w:highlight w:val="none"/>
        </w:rPr>
        <w:t>鉴于甲方属地铁运营单位，对货物的使用时间及效能均有特殊要求，乙方逾期交付货物</w:t>
      </w:r>
      <w:r>
        <w:rPr>
          <w:rFonts w:ascii="宋体" w:hAnsi="宋体"/>
          <w:color w:val="auto"/>
          <w:highlight w:val="none"/>
        </w:rPr>
        <w:t>15天内（含15天），每逾期1天乙方向甲方偿付逾期交货部分总额的</w:t>
      </w:r>
      <w:r>
        <w:rPr>
          <w:rFonts w:hint="eastAsia" w:ascii="宋体" w:hAnsi="宋体"/>
          <w:color w:val="auto"/>
          <w:highlight w:val="none"/>
        </w:rPr>
        <w:t>0.1%/天违约金。逾期交货超过</w:t>
      </w:r>
      <w:r>
        <w:rPr>
          <w:rFonts w:ascii="宋体" w:hAnsi="宋体"/>
          <w:color w:val="auto"/>
          <w:highlight w:val="none"/>
        </w:rPr>
        <w:t>15天，乙方给予甲方逾期货物总价10%的赔偿，同时甲方有权选择解除合同</w:t>
      </w:r>
      <w:r>
        <w:rPr>
          <w:rFonts w:hint="eastAsia" w:ascii="宋体" w:hAnsi="宋体"/>
          <w:color w:val="auto"/>
          <w:highlight w:val="none"/>
        </w:rPr>
        <w:t>，履约保证金不予退还；甲方也有权选择合同继续履行，乙方给予甲方逾期货物总价</w:t>
      </w:r>
      <w:r>
        <w:rPr>
          <w:rFonts w:ascii="宋体" w:hAnsi="宋体"/>
          <w:color w:val="auto"/>
          <w:highlight w:val="none"/>
        </w:rPr>
        <w:t>10%的赔偿金，并且按</w:t>
      </w:r>
      <w:r>
        <w:rPr>
          <w:rFonts w:hint="eastAsia" w:ascii="宋体" w:hAnsi="宋体"/>
          <w:color w:val="auto"/>
          <w:highlight w:val="none"/>
        </w:rPr>
        <w:t>10</w:t>
      </w:r>
      <w:r>
        <w:rPr>
          <w:rFonts w:ascii="宋体" w:hAnsi="宋体"/>
          <w:color w:val="auto"/>
          <w:highlight w:val="none"/>
        </w:rPr>
        <w:t>条</w:t>
      </w:r>
      <w:r>
        <w:rPr>
          <w:rFonts w:hint="eastAsia" w:ascii="宋体" w:hAnsi="宋体"/>
          <w:color w:val="auto"/>
          <w:highlight w:val="none"/>
        </w:rPr>
        <w:t>补足履约保证金后合同继续履行。后续履行过程中乙方再次发生逾期交货时，乙方按合同约定根据逾期天数承担违约责任。如赔偿不足以弥补甲方损失，甲方有权向乙方继续追偿。（按逾期时间，分别处理，不作累加）</w:t>
      </w:r>
    </w:p>
    <w:p>
      <w:pPr>
        <w:tabs>
          <w:tab w:val="left" w:pos="1134"/>
          <w:tab w:val="left" w:pos="14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25.5若因乙方提供的货物不满足验收标准和技术需求，并拒绝更换符合甲方技术需求的货物，乙方须支付本批次货物的20%的违约金，同时甲方重新采购因价格差所造成的损失由乙方承担。</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25.6验收时，乙方需保证交付货物满足技术需求和验收标准，否则甲方可以拒收，并要求乙方提供符合要求的货物。</w:t>
      </w:r>
    </w:p>
    <w:p>
      <w:pPr>
        <w:pStyle w:val="34"/>
        <w:numPr>
          <w:ilvl w:val="255"/>
          <w:numId w:val="0"/>
        </w:numPr>
        <w:tabs>
          <w:tab w:val="left" w:pos="980"/>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25.7若因乙方交付的货物不满足技术需求，并拒绝更换符合甲方技术需求的货物，甲方有权追究乙方违约责任。</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25.8文件提交延误违约金</w:t>
      </w:r>
    </w:p>
    <w:p>
      <w:pPr>
        <w:pStyle w:val="34"/>
        <w:numPr>
          <w:ilvl w:val="255"/>
          <w:numId w:val="0"/>
        </w:numPr>
        <w:tabs>
          <w:tab w:val="left" w:pos="1134"/>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若因乙方的过失导致乙方提供的文件（图纸、手册）未按合同规定的时间提供给甲方，则乙方应向甲方支付违约金，违约金按每延误十五（</w:t>
      </w:r>
      <w:r>
        <w:rPr>
          <w:rFonts w:ascii="宋体" w:hAnsi="宋体"/>
          <w:color w:val="auto"/>
          <w:highlight w:val="none"/>
        </w:rPr>
        <w:t>15</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25.9质量保证期赔偿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在质量保证期内提出的索赔应根据合同规定进行处理。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25.10乙方在中标文件中承诺的响应要求，而在项目实施阶段未能实现，视为乙方违约，甲方向乙方收取违约金1000元/项。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25.14乙方对其产品质量引起的人身伤亡的责任受有关适用法律的制约。</w:t>
      </w:r>
      <w:r>
        <w:rPr>
          <w:rFonts w:hint="eastAsia" w:ascii="宋体" w:hAnsi="宋体"/>
          <w:color w:val="auto"/>
          <w:highlight w:val="none"/>
        </w:rPr>
        <w:tab/>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25.15所有违约金和赔偿金的支付不减轻乙方合同项下的任何责任和义务。如果甲方所遭受的损失超过违约金，乙方应对超出违约金部分的损失给予赔偿。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25.17本合同条款规定的乙方处理货物质量问题的时间如果与合同规定的关键节点时间有冲突，应首先满足该关键节点时间。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26.合同终止</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26.1对合同条件所做出的任何修改、补充，须经双方协商达成一致意见后，签订书面协议。</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26.2合同自然终止</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26.2.1甲方、乙方双方各自完成合同规定的责任和义务，合同自然终止。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26.2.2本合同供货金额累计达到合同暂定金额的100%（含），本合同自行终止。</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26.3乙方违约时的终止</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如果乙方有以下情形之一，甲方有权以书面形式通知部分或全部终止合同：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26.3.1 在收到本合同条款规定情形下的违约通知后二十八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26.3.3</w:t>
      </w:r>
      <w:r>
        <w:rPr>
          <w:color w:val="auto"/>
          <w:highlight w:val="none"/>
        </w:rPr>
        <w:t>在履行期限届满之前，</w:t>
      </w:r>
      <w:r>
        <w:rPr>
          <w:rFonts w:hint="eastAsia"/>
          <w:color w:val="auto"/>
          <w:highlight w:val="none"/>
        </w:rPr>
        <w:t>乙</w:t>
      </w:r>
      <w:r>
        <w:rPr>
          <w:color w:val="auto"/>
          <w:highlight w:val="none"/>
        </w:rPr>
        <w:t>方明确表示或者以自己的行为表明不履行主要债务</w:t>
      </w:r>
      <w:r>
        <w:rPr>
          <w:rFonts w:hint="eastAsia"/>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26.3.5如果乙方不能在合同规定的交货期内交货或经甲方催告后在合理的期限内仍未交货。</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26.3.6如果乙方不能履行合同项下其他义务。</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26.3.7如果乙方在上述情况下不能在接到甲方通知后十（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 甲方违约时的终止</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26.4.2任何此类终止均不应损害本合同项下甲方的任何其它权利。</w:t>
      </w:r>
    </w:p>
    <w:p>
      <w:pPr>
        <w:tabs>
          <w:tab w:val="left" w:pos="640"/>
          <w:tab w:val="left" w:pos="1843"/>
        </w:tabs>
        <w:spacing w:before="0" w:after="0" w:afterAutospacing="0"/>
        <w:ind w:left="420" w:right="0" w:firstLine="0"/>
        <w:rPr>
          <w:rFonts w:ascii="宋体" w:hAnsi="宋体"/>
          <w:b/>
          <w:color w:val="auto"/>
          <w:highlight w:val="none"/>
        </w:rPr>
      </w:pPr>
      <w:r>
        <w:rPr>
          <w:rFonts w:hint="eastAsia" w:ascii="宋体" w:hAnsi="宋体"/>
          <w:b/>
          <w:color w:val="auto"/>
          <w:highlight w:val="none"/>
        </w:rPr>
        <w:t>26.5其他约定</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26.5.1</w:t>
      </w:r>
      <w:r>
        <w:rPr>
          <w:rFonts w:ascii="宋体" w:hAnsi="宋体"/>
          <w:color w:val="auto"/>
          <w:highlight w:val="none"/>
        </w:rPr>
        <w:t>如乙方破产，甲方有权可以在任意时间，以书面形式通知终止合同，且不必补偿</w:t>
      </w:r>
      <w:r>
        <w:rPr>
          <w:rFonts w:hint="eastAsia" w:ascii="宋体" w:hAnsi="宋体"/>
          <w:color w:val="auto"/>
          <w:highlight w:val="none"/>
        </w:rPr>
        <w:t>乙方损失。</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26.5.5 按本合同条款26条之26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.2</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若有</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26.5.6如果甲方按合同条款26.3条终止合同，甲方可以不给乙方任何补偿，且该终止合同将不损害或影响甲方已经采取或将要采取的任何行动或补救措施的权利。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27.争端的解决</w:t>
      </w:r>
    </w:p>
    <w:p>
      <w:pPr>
        <w:pStyle w:val="5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27.1因本合同引起的或与本合同有关的合同争议，由买卖双方协商解决，协商不成的，可向甲方住所地有管辖权的人民法院提起诉讼。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27.2除非各方另有约定，诉讼语言应为汉语。</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27.3法院判决应为最终裁决，对双方均具有约束力。</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27.4诉讼费应由败诉方负担。</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28.语言</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28.1本合同语言为中文。</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28.2合同文本可以同时附有英文版本作为参考文本，两种文本若有矛盾之处或合同双方发生争议时，以中文文本为准。</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28.3乙方应负责将非中文文件翻译成中文并负责准确性。</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29.适用法律</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30.其它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30.1乙方确认并认知：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30.1.2其同意该等风险和义务，并未受到甲方方面的任何胁迫或压力；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30.1.3其接受该等风险和义务，是甲方愿意和能够按合同约定的价格订立合同的先决条件；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30.2合同附件的规定全部都是合同条款中相关内容的补充和/或再描述。</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30.3合同执行的文档管理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31.廉洁条款特别约定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31.1严格遵守国家有关法律法规以及廉洁条款的有关规定。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31.2严格遵守商业道德和市场规则，共同营造公平公正的商业交易环境。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31.3不向甲方及其人员提供回扣、礼金、有价证券、支付凭证、贵重物品等。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31.4不为甲方及其人员报销应由贵公司或个人支付的费用。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31.5不为甲方人员投资入股，个人借款或买卖股票、债券等提供方便。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31.7不为甲方人员安排的有可能影响履行合同的宴请、健身、娱乐等活动。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31.8不为甲方及其人员购置或提供通讯工具、交通工具和高档办公用品。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31.9不为甲方人员的配偶、子女及其他人亲属谋取不正当利益提供方便。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31.11甲方对涉嫌不廉洁的商业行为进行调查时，乙方应配合甲方提供证据、作证的义务。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32.合同生效和签约地</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32.1本合同生效的时间以双方签署的协议书上的最后日期为准。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32.2本合同签约地为中华人民共和国广西壮族自治区南宁市青秀区。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ind w:left="0" w:right="0" w:firstLine="420" w:firstLineChars="200"/>
        <w:rPr>
          <w:rFonts w:ascii="宋体" w:hAnsi="宋体"/>
          <w:color w:val="auto"/>
          <w:highlight w:val="none"/>
        </w:rPr>
      </w:pPr>
    </w:p>
    <w:p>
      <w:pPr>
        <w:pStyle w:val="52"/>
        <w:pageBreakBefore/>
        <w:adjustRightInd/>
        <w:spacing w:before="0" w:after="0" w:line="360" w:lineRule="auto"/>
        <w:ind w:left="0" w:right="0"/>
        <w:rPr>
          <w:rFonts w:ascii="宋体" w:hAnsi="宋体"/>
          <w:color w:val="auto"/>
          <w:sz w:val="21"/>
          <w:szCs w:val="21"/>
          <w:highlight w:val="none"/>
        </w:rPr>
      </w:pPr>
      <w:bookmarkStart w:id="168" w:name="_Toc14997"/>
      <w:bookmarkStart w:id="169" w:name="_Toc29249"/>
      <w:bookmarkStart w:id="170" w:name="_Toc21372"/>
      <w:bookmarkStart w:id="171" w:name="_Toc16443"/>
      <w:bookmarkStart w:id="172" w:name="_Toc13288"/>
      <w:bookmarkStart w:id="173" w:name="_Toc6194"/>
      <w:bookmarkStart w:id="174" w:name="_Toc21659"/>
      <w:bookmarkStart w:id="175" w:name="_Toc21033"/>
      <w:bookmarkStart w:id="176" w:name="_Toc2753"/>
      <w:bookmarkStart w:id="177" w:name="_Toc12470"/>
      <w:bookmarkStart w:id="178" w:name="_Toc12983548"/>
      <w:bookmarkStart w:id="179" w:name="_Toc5186"/>
      <w:bookmarkStart w:id="180" w:name="_Toc5644"/>
      <w:bookmarkStart w:id="181" w:name="_Toc19448"/>
      <w:bookmarkStart w:id="182" w:name="_Toc16716"/>
      <w:bookmarkStart w:id="183" w:name="_Toc27258"/>
      <w:bookmarkStart w:id="184" w:name="_Toc27316"/>
      <w:bookmarkStart w:id="185" w:name="_Toc21635"/>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4"/>
        <w:spacing w:before="40" w:after="40" w:line="240" w:lineRule="auto"/>
        <w:jc w:val="center"/>
        <w:rPr>
          <w:rFonts w:ascii="Times New Roman" w:hAnsi="Times New Roman" w:eastAsia="宋体"/>
          <w:color w:val="auto"/>
          <w:highlight w:val="none"/>
        </w:rPr>
      </w:pPr>
      <w:bookmarkStart w:id="186" w:name="_Toc997"/>
      <w:bookmarkStart w:id="187" w:name="_Toc101965693"/>
      <w:bookmarkStart w:id="188" w:name="_Toc92268646"/>
      <w:r>
        <w:rPr>
          <w:rFonts w:ascii="Times New Roman" w:hAnsi="Times New Roman" w:eastAsia="宋体"/>
          <w:color w:val="auto"/>
          <w:highlight w:val="none"/>
        </w:rPr>
        <w:t>第</w:t>
      </w:r>
      <w:r>
        <w:rPr>
          <w:rFonts w:hint="eastAsia" w:ascii="Times New Roman" w:hAnsi="Times New Roman" w:eastAsia="宋体"/>
          <w:color w:val="auto"/>
          <w:highlight w:val="none"/>
        </w:rPr>
        <w:t>五</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技术规格书</w:t>
      </w:r>
      <w:bookmarkEnd w:id="186"/>
      <w:bookmarkEnd w:id="187"/>
      <w:bookmarkEnd w:id="188"/>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pageBreakBefore/>
        <w:adjustRightInd/>
        <w:spacing w:before="0" w:after="0" w:line="360" w:lineRule="auto"/>
        <w:ind w:left="0" w:right="0"/>
        <w:rPr>
          <w:rFonts w:ascii="宋体" w:hAnsi="宋体"/>
          <w:color w:val="auto"/>
          <w:sz w:val="21"/>
          <w:szCs w:val="21"/>
          <w:highlight w:val="none"/>
        </w:rPr>
      </w:pPr>
      <w:bookmarkStart w:id="189" w:name="_Toc72769348"/>
      <w:bookmarkStart w:id="190" w:name="_Toc92268647"/>
      <w:bookmarkStart w:id="191" w:name="_Toc480908536"/>
      <w:bookmarkStart w:id="192" w:name="_Toc483608731"/>
      <w:bookmarkStart w:id="193" w:name="_Toc75963081"/>
      <w:bookmarkStart w:id="194" w:name="_Toc75264122"/>
      <w:bookmarkStart w:id="195" w:name="_Toc498882140"/>
      <w:bookmarkStart w:id="196" w:name="_Toc14746"/>
      <w:bookmarkStart w:id="197" w:name="_Toc68674896"/>
      <w:bookmarkStart w:id="198" w:name="_Toc29924"/>
    </w:p>
    <w:p>
      <w:pPr>
        <w:pStyle w:val="4"/>
        <w:spacing w:before="40" w:after="40" w:line="240" w:lineRule="auto"/>
        <w:jc w:val="center"/>
        <w:rPr>
          <w:rFonts w:ascii="宋体" w:hAnsi="宋体" w:eastAsia="宋体"/>
          <w:iCs/>
          <w:color w:val="auto"/>
          <w:highlight w:val="none"/>
        </w:rPr>
      </w:pPr>
      <w:bookmarkStart w:id="199" w:name="_Toc101965694"/>
      <w:r>
        <w:rPr>
          <w:rFonts w:ascii="宋体" w:hAnsi="宋体" w:eastAsia="宋体"/>
          <w:iCs/>
          <w:color w:val="auto"/>
          <w:highlight w:val="none"/>
        </w:rPr>
        <w:t>第</w:t>
      </w:r>
      <w:r>
        <w:rPr>
          <w:rFonts w:hint="eastAsia" w:ascii="宋体" w:hAnsi="宋体" w:eastAsia="宋体"/>
          <w:iCs/>
          <w:color w:val="auto"/>
          <w:highlight w:val="none"/>
        </w:rPr>
        <w:t>六</w:t>
      </w:r>
      <w:r>
        <w:rPr>
          <w:rFonts w:ascii="宋体" w:hAnsi="宋体" w:eastAsia="宋体"/>
          <w:iCs/>
          <w:color w:val="auto"/>
          <w:highlight w:val="none"/>
        </w:rPr>
        <w:t>部分</w:t>
      </w:r>
      <w:r>
        <w:rPr>
          <w:rFonts w:hint="eastAsia" w:ascii="宋体" w:hAnsi="宋体" w:eastAsia="宋体"/>
          <w:iCs/>
          <w:color w:val="auto"/>
          <w:highlight w:val="none"/>
        </w:rPr>
        <w:t xml:space="preserve"> </w:t>
      </w:r>
      <w:r>
        <w:rPr>
          <w:rFonts w:ascii="宋体" w:hAnsi="宋体" w:eastAsia="宋体"/>
          <w:iCs/>
          <w:color w:val="auto"/>
          <w:highlight w:val="none"/>
        </w:rPr>
        <w:t>合同附件</w:t>
      </w:r>
      <w:bookmarkEnd w:id="189"/>
      <w:bookmarkEnd w:id="190"/>
      <w:bookmarkEnd w:id="191"/>
      <w:bookmarkEnd w:id="192"/>
      <w:bookmarkEnd w:id="193"/>
      <w:bookmarkEnd w:id="194"/>
      <w:bookmarkEnd w:id="195"/>
      <w:bookmarkEnd w:id="196"/>
      <w:bookmarkEnd w:id="197"/>
      <w:bookmarkEnd w:id="198"/>
      <w:bookmarkEnd w:id="199"/>
    </w:p>
    <w:p>
      <w:pPr>
        <w:ind w:firstLine="420" w:firstLineChars="200"/>
        <w:textAlignment w:val="bottom"/>
        <w:rPr>
          <w:rFonts w:ascii="宋体" w:hAnsi="宋体"/>
          <w:color w:val="auto"/>
          <w:highlight w:val="none"/>
        </w:rPr>
      </w:pPr>
    </w:p>
    <w:p>
      <w:pPr>
        <w:pStyle w:val="5"/>
        <w:rPr>
          <w:rFonts w:ascii="宋体" w:hAnsi="宋体"/>
          <w:b w:val="0"/>
          <w:color w:val="auto"/>
          <w:highlight w:val="none"/>
        </w:rPr>
      </w:pPr>
      <w:bookmarkStart w:id="200" w:name="_Toc92268648"/>
      <w:r>
        <w:rPr>
          <w:rFonts w:hint="eastAsia" w:ascii="宋体" w:hAnsi="宋体"/>
          <w:b w:val="0"/>
          <w:color w:val="auto"/>
          <w:highlight w:val="none"/>
        </w:rPr>
        <w:t>1.履约保证金缴纳凭证（履约保函格式附后）</w:t>
      </w:r>
      <w:bookmarkEnd w:id="200"/>
    </w:p>
    <w:p>
      <w:pPr>
        <w:pStyle w:val="5"/>
        <w:rPr>
          <w:rFonts w:ascii="宋体" w:hAnsi="宋体"/>
          <w:b w:val="0"/>
          <w:color w:val="auto"/>
          <w:highlight w:val="none"/>
        </w:rPr>
      </w:pPr>
      <w:bookmarkStart w:id="201" w:name="_Toc92268649"/>
      <w:r>
        <w:rPr>
          <w:rFonts w:hint="eastAsia" w:ascii="宋体" w:hAnsi="宋体"/>
          <w:b w:val="0"/>
          <w:color w:val="auto"/>
          <w:highlight w:val="none"/>
        </w:rPr>
        <w:t>2.</w:t>
      </w:r>
      <w:bookmarkEnd w:id="201"/>
      <w:r>
        <w:rPr>
          <w:rFonts w:hint="eastAsia" w:ascii="宋体" w:hAnsi="宋体"/>
          <w:b w:val="0"/>
          <w:color w:val="auto"/>
          <w:highlight w:val="none"/>
        </w:rPr>
        <w:t>乙方营业执照或资质证书等（如有）</w:t>
      </w:r>
    </w:p>
    <w:p>
      <w:pPr>
        <w:pStyle w:val="5"/>
        <w:rPr>
          <w:rFonts w:ascii="宋体" w:hAnsi="宋体"/>
          <w:b w:val="0"/>
          <w:color w:val="auto"/>
          <w:highlight w:val="none"/>
        </w:rPr>
      </w:pPr>
      <w:r>
        <w:rPr>
          <w:rFonts w:hint="eastAsia" w:ascii="宋体" w:hAnsi="宋体"/>
          <w:b w:val="0"/>
          <w:color w:val="auto"/>
          <w:highlight w:val="none"/>
        </w:rPr>
        <w:t>3.乙方法人授权委托书（如有）</w:t>
      </w:r>
    </w:p>
    <w:p>
      <w:pPr>
        <w:pStyle w:val="5"/>
        <w:rPr>
          <w:rFonts w:ascii="宋体" w:hAnsi="宋体"/>
          <w:b w:val="0"/>
          <w:color w:val="auto"/>
          <w:highlight w:val="none"/>
        </w:rPr>
      </w:pPr>
      <w:r>
        <w:rPr>
          <w:rFonts w:hint="eastAsia" w:ascii="宋体" w:hAnsi="宋体"/>
          <w:b w:val="0"/>
          <w:color w:val="auto"/>
          <w:highlight w:val="none"/>
        </w:rPr>
        <w:t>4.原厂授权证明（如有）</w:t>
      </w:r>
    </w:p>
    <w:p>
      <w:pPr>
        <w:pStyle w:val="5"/>
        <w:rPr>
          <w:rFonts w:ascii="宋体" w:hAnsi="宋体"/>
          <w:b w:val="0"/>
          <w:color w:val="auto"/>
          <w:highlight w:val="none"/>
        </w:rPr>
      </w:pPr>
      <w:bookmarkStart w:id="202" w:name="_Toc92268650"/>
      <w:r>
        <w:rPr>
          <w:rFonts w:hint="eastAsia" w:ascii="宋体" w:hAnsi="宋体"/>
          <w:b w:val="0"/>
          <w:color w:val="auto"/>
          <w:highlight w:val="none"/>
        </w:rPr>
        <w:t>5.</w:t>
      </w:r>
      <w:bookmarkEnd w:id="202"/>
      <w:r>
        <w:rPr>
          <w:rFonts w:hint="eastAsia" w:ascii="宋体" w:hAnsi="宋体"/>
          <w:b w:val="0"/>
          <w:color w:val="auto"/>
          <w:highlight w:val="none"/>
        </w:rPr>
        <w:t>供货证明格式（如有）</w:t>
      </w:r>
    </w:p>
    <w:p>
      <w:pPr>
        <w:pStyle w:val="5"/>
        <w:rPr>
          <w:rFonts w:ascii="宋体" w:hAnsi="宋体"/>
          <w:b w:val="0"/>
          <w:color w:val="auto"/>
          <w:highlight w:val="none"/>
        </w:rPr>
      </w:pPr>
      <w:bookmarkStart w:id="203" w:name="_Toc92268651"/>
      <w:r>
        <w:rPr>
          <w:rFonts w:hint="eastAsia" w:ascii="宋体" w:hAnsi="宋体"/>
          <w:b w:val="0"/>
          <w:color w:val="auto"/>
          <w:highlight w:val="none"/>
        </w:rPr>
        <w:t>6.</w:t>
      </w:r>
      <w:bookmarkEnd w:id="203"/>
      <w:r>
        <w:rPr>
          <w:rFonts w:hint="eastAsia" w:ascii="宋体" w:hAnsi="宋体"/>
          <w:b w:val="0"/>
          <w:color w:val="auto"/>
          <w:highlight w:val="none"/>
        </w:rPr>
        <w:t>交货通知格式（如有）</w:t>
      </w:r>
    </w:p>
    <w:p>
      <w:pPr>
        <w:pStyle w:val="5"/>
        <w:rPr>
          <w:rFonts w:ascii="宋体" w:hAnsi="宋体"/>
          <w:b w:val="0"/>
          <w:color w:val="auto"/>
          <w:highlight w:val="none"/>
        </w:rPr>
      </w:pPr>
      <w:r>
        <w:rPr>
          <w:rFonts w:hint="eastAsia" w:ascii="宋体" w:hAnsi="宋体"/>
          <w:b w:val="0"/>
          <w:color w:val="auto"/>
          <w:highlight w:val="none"/>
        </w:rPr>
        <w:t>7.送货单格式（如有）</w:t>
      </w:r>
    </w:p>
    <w:p>
      <w:pPr>
        <w:pStyle w:val="52"/>
        <w:adjustRightInd/>
        <w:spacing w:before="0" w:after="0" w:line="360" w:lineRule="auto"/>
        <w:ind w:left="0" w:right="0"/>
        <w:rPr>
          <w:rFonts w:ascii="宋体" w:hAnsi="宋体"/>
          <w:color w:val="auto"/>
          <w:sz w:val="21"/>
          <w:szCs w:val="21"/>
          <w:highlight w:val="none"/>
        </w:rPr>
      </w:pP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附件6.1 银行</w:t>
      </w:r>
      <w:r>
        <w:rPr>
          <w:rFonts w:ascii="宋体" w:hAnsi="宋体"/>
          <w:b/>
          <w:color w:val="auto"/>
          <w:sz w:val="24"/>
          <w:szCs w:val="24"/>
          <w:highlight w:val="none"/>
        </w:rPr>
        <w:t>保函</w:t>
      </w:r>
      <w:r>
        <w:rPr>
          <w:rFonts w:hint="eastAsia" w:ascii="宋体" w:hAnsi="宋体"/>
          <w:b/>
          <w:color w:val="auto"/>
          <w:sz w:val="24"/>
          <w:szCs w:val="24"/>
          <w:highlight w:val="none"/>
        </w:rPr>
        <w:t>格式</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（中标后提供）</w:t>
      </w:r>
    </w:p>
    <w:p>
      <w:pPr>
        <w:autoSpaceDE w:val="0"/>
        <w:autoSpaceDN w:val="0"/>
        <w:ind w:right="-57" w:firstLine="0"/>
        <w:jc w:val="left"/>
        <w:rPr>
          <w:rFonts w:ascii="宋体" w:hAnsi="宋体"/>
          <w:color w:val="auto"/>
          <w:highlight w:val="none"/>
        </w:rPr>
      </w:pPr>
      <w:r>
        <w:rPr>
          <w:rFonts w:hint="eastAsia" w:ascii="宋体" w:hAnsi="宋体"/>
          <w:color w:val="auto"/>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致：南宁轨道交通运营有限公司</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鉴于贵方已于年月日发出中标通知书，本保函作为贵方将与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以下简称“本项目”）合同（中标价格￥元，大写：元）的银行保函。</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left="0" w:right="0" w:firstLine="426"/>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pStyle w:val="2"/>
        <w:rPr>
          <w:color w:val="auto"/>
          <w:highlight w:val="none"/>
        </w:rPr>
      </w:pPr>
    </w:p>
    <w:p>
      <w:pPr>
        <w:pStyle w:val="2"/>
        <w:rPr>
          <w:color w:val="auto"/>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承诺函（中标后提供）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南宁轨道交通运营有限公司：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（以下称“本公司”）现已中标贵司招标的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附件6.2 供货证明格式</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rPr>
        <w:t>南宁轨道交通运营有限公司：</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rPr>
        <w:t>采购项目（项目编号：）中，向贵方交付的以下货物为我公司生产（提供）：</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ind w:left="0" w:firstLine="0"/>
              <w:rPr>
                <w:rFonts w:ascii="宋体" w:hAnsi="宋体"/>
                <w:color w:val="auto"/>
                <w:highlight w:val="none"/>
              </w:rPr>
            </w:pPr>
            <w:r>
              <w:rPr>
                <w:rFonts w:hint="eastAsia" w:ascii="宋体" w:hAnsi="宋体"/>
                <w:color w:val="auto"/>
                <w:highlight w:val="none"/>
              </w:rPr>
              <w:t>序号</w:t>
            </w:r>
          </w:p>
        </w:tc>
        <w:tc>
          <w:tcPr>
            <w:tcW w:w="996" w:type="dxa"/>
            <w:vAlign w:val="center"/>
          </w:tcPr>
          <w:p>
            <w:pPr>
              <w:ind w:left="0" w:firstLine="0"/>
              <w:rPr>
                <w:rFonts w:ascii="宋体" w:hAnsi="宋体"/>
                <w:color w:val="auto"/>
                <w:highlight w:val="none"/>
              </w:rPr>
            </w:pPr>
            <w:r>
              <w:rPr>
                <w:rFonts w:hint="eastAsia" w:ascii="宋体" w:hAnsi="宋体"/>
                <w:color w:val="auto"/>
                <w:highlight w:val="none"/>
              </w:rPr>
              <w:t>计划</w:t>
            </w:r>
          </w:p>
        </w:tc>
        <w:tc>
          <w:tcPr>
            <w:tcW w:w="1284" w:type="dxa"/>
            <w:vAlign w:val="center"/>
          </w:tcPr>
          <w:p>
            <w:pPr>
              <w:ind w:left="0" w:firstLine="0"/>
              <w:rPr>
                <w:rFonts w:ascii="宋体" w:hAnsi="宋体"/>
                <w:color w:val="auto"/>
                <w:highlight w:val="none"/>
              </w:rPr>
            </w:pPr>
            <w:r>
              <w:rPr>
                <w:rFonts w:hint="eastAsia" w:ascii="宋体" w:hAnsi="宋体"/>
                <w:color w:val="auto"/>
                <w:highlight w:val="none"/>
              </w:rPr>
              <w:t>货物名称</w:t>
            </w:r>
          </w:p>
        </w:tc>
        <w:tc>
          <w:tcPr>
            <w:tcW w:w="1516" w:type="dxa"/>
            <w:vAlign w:val="center"/>
          </w:tcPr>
          <w:p>
            <w:pPr>
              <w:ind w:left="0" w:firstLine="0"/>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1161" w:type="dxa"/>
            <w:vAlign w:val="center"/>
          </w:tcPr>
          <w:p>
            <w:pPr>
              <w:ind w:left="0" w:firstLine="0"/>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719" w:type="dxa"/>
            <w:vAlign w:val="center"/>
          </w:tcPr>
          <w:p>
            <w:pPr>
              <w:ind w:left="0" w:firstLine="0"/>
              <w:rPr>
                <w:rFonts w:ascii="宋体" w:hAnsi="宋体"/>
                <w:color w:val="auto"/>
                <w:highlight w:val="none"/>
              </w:rPr>
            </w:pPr>
            <w:r>
              <w:rPr>
                <w:rFonts w:hint="eastAsia" w:ascii="宋体" w:hAnsi="宋体"/>
                <w:color w:val="auto"/>
                <w:highlight w:val="none"/>
              </w:rPr>
              <w:t>单位</w:t>
            </w:r>
          </w:p>
        </w:tc>
        <w:tc>
          <w:tcPr>
            <w:tcW w:w="912" w:type="dxa"/>
            <w:vAlign w:val="center"/>
          </w:tcPr>
          <w:p>
            <w:pPr>
              <w:ind w:left="0" w:firstLine="0"/>
              <w:rPr>
                <w:rFonts w:ascii="宋体" w:hAnsi="宋体"/>
                <w:color w:val="auto"/>
                <w:highlight w:val="none"/>
              </w:rPr>
            </w:pPr>
            <w:r>
              <w:rPr>
                <w:rFonts w:hint="eastAsia" w:ascii="宋体" w:hAnsi="宋体"/>
                <w:color w:val="auto"/>
                <w:highlight w:val="none"/>
              </w:rPr>
              <w:t>数量</w:t>
            </w:r>
          </w:p>
        </w:tc>
        <w:tc>
          <w:tcPr>
            <w:tcW w:w="732" w:type="dxa"/>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bl>
    <w:p>
      <w:pPr>
        <w:pStyle w:val="2"/>
        <w:spacing w:line="240" w:lineRule="auto"/>
        <w:ind w:left="708" w:leftChars="200" w:right="-28" w:hanging="288" w:hangingChars="144"/>
        <w:rPr>
          <w:rFonts w:hAnsi="宋体"/>
          <w:color w:val="auto"/>
          <w:highlight w:val="none"/>
        </w:rPr>
      </w:pP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 xml:space="preserve">单位：（公章）                       </w:t>
      </w: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地址：</w:t>
      </w: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联系人：                部门及职务：</w:t>
      </w:r>
    </w:p>
    <w:p>
      <w:pPr>
        <w:spacing w:line="240" w:lineRule="auto"/>
        <w:ind w:left="722" w:leftChars="200" w:right="-28" w:hanging="302" w:hangingChars="144"/>
        <w:rPr>
          <w:rFonts w:ascii="宋体" w:hAnsi="宋体"/>
          <w:color w:val="auto"/>
          <w:highlight w:val="none"/>
        </w:rPr>
      </w:pPr>
      <w:r>
        <w:rPr>
          <w:rFonts w:hint="eastAsia" w:ascii="宋体" w:hAnsi="宋体"/>
          <w:color w:val="auto"/>
          <w:highlight w:val="none"/>
        </w:rPr>
        <w:t>联系方式:              日期：</w:t>
      </w:r>
    </w:p>
    <w:p>
      <w:pPr>
        <w:pStyle w:val="2"/>
        <w:spacing w:line="240" w:lineRule="auto"/>
        <w:ind w:left="708" w:leftChars="200" w:right="-28" w:hanging="288" w:hangingChars="144"/>
        <w:rPr>
          <w:rFonts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附件6.3 交货通知格式</w:t>
      </w:r>
    </w:p>
    <w:p>
      <w:pPr>
        <w:ind w:right="-57" w:firstLine="0"/>
        <w:jc w:val="center"/>
        <w:rPr>
          <w:rFonts w:ascii="宋体" w:hAnsi="宋体"/>
          <w:b/>
          <w:color w:val="auto"/>
          <w:sz w:val="24"/>
          <w:szCs w:val="24"/>
          <w:highlight w:val="none"/>
        </w:rPr>
      </w:pPr>
      <w:r>
        <w:rPr>
          <w:rFonts w:ascii="宋体" w:hAnsi="宋体" w:cs="宋体"/>
          <w:b/>
          <w:color w:val="auto"/>
          <w:kern w:val="2"/>
          <w:sz w:val="24"/>
          <w:szCs w:val="24"/>
          <w:highlight w:val="none"/>
        </w:rPr>
        <w:t>交货通知 （格式）</w:t>
      </w:r>
    </w:p>
    <w:p>
      <w:pPr>
        <w:pStyle w:val="2"/>
        <w:spacing w:line="240" w:lineRule="auto"/>
        <w:ind w:leftChars="200" w:right="-28" w:hanging="289" w:hangingChars="144"/>
        <w:jc w:val="center"/>
        <w:rPr>
          <w:rFonts w:hAnsi="宋体"/>
          <w:color w:val="auto"/>
          <w:highlight w:val="none"/>
        </w:rPr>
      </w:pPr>
      <w:r>
        <w:rPr>
          <w:rFonts w:hAnsi="宋体"/>
          <w:b/>
          <w:color w:val="auto"/>
          <w:kern w:val="2"/>
          <w:highlight w:val="none"/>
        </w:rPr>
        <w:t xml:space="preserve">采购项目 </w:t>
      </w:r>
      <w:r>
        <w:rPr>
          <w:rFonts w:hint="eastAsia" w:hAnsi="宋体"/>
          <w:b/>
          <w:color w:val="auto"/>
          <w:kern w:val="2"/>
          <w:highlight w:val="none"/>
        </w:rPr>
        <w:t xml:space="preserve"> </w:t>
      </w:r>
      <w:r>
        <w:rPr>
          <w:rFonts w:hAnsi="宋体"/>
          <w:b/>
          <w:color w:val="auto"/>
          <w:kern w:val="2"/>
          <w:highlight w:val="none"/>
        </w:rPr>
        <w:t xml:space="preserve">号线 第 </w:t>
      </w:r>
      <w:r>
        <w:rPr>
          <w:rFonts w:hint="eastAsia" w:hAnsi="宋体"/>
          <w:b/>
          <w:color w:val="auto"/>
          <w:kern w:val="2"/>
          <w:highlight w:val="none"/>
        </w:rPr>
        <w:t xml:space="preserve"> </w:t>
      </w:r>
      <w:r>
        <w:rPr>
          <w:rFonts w:hAnsi="宋体"/>
          <w:b/>
          <w:color w:val="auto"/>
          <w:kern w:val="2"/>
          <w:highlight w:val="none"/>
        </w:rPr>
        <w:t>批 交货通知</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交货地点：</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收货联系人及电话：</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161" w:type="dxa"/>
            <w:vAlign w:val="center"/>
          </w:tcPr>
          <w:p>
            <w:pPr>
              <w:spacing w:before="0" w:after="0" w:afterAutospacing="0"/>
              <w:ind w:left="0" w:right="0" w:firstLine="0"/>
              <w:jc w:val="center"/>
              <w:textAlignment w:val="center"/>
              <w:rPr>
                <w:rFonts w:ascii="宋体" w:hAnsi="宋体" w:cs="Calibri"/>
                <w:color w:val="auto"/>
                <w:highlight w:val="none"/>
              </w:rPr>
            </w:pPr>
          </w:p>
        </w:tc>
        <w:tc>
          <w:tcPr>
            <w:tcW w:w="1161" w:type="dxa"/>
            <w:vAlign w:val="center"/>
          </w:tcPr>
          <w:p>
            <w:pPr>
              <w:spacing w:before="0" w:after="0" w:afterAutospacing="0"/>
              <w:ind w:right="0"/>
              <w:jc w:val="center"/>
              <w:textAlignment w:val="center"/>
              <w:rPr>
                <w:rFonts w:ascii="宋体" w:hAnsi="宋体" w:cs="Calibri"/>
                <w:color w:val="auto"/>
                <w:highlight w:val="none"/>
              </w:rPr>
            </w:pPr>
          </w:p>
        </w:tc>
        <w:tc>
          <w:tcPr>
            <w:tcW w:w="1161" w:type="dxa"/>
            <w:vAlign w:val="center"/>
          </w:tcPr>
          <w:p>
            <w:pPr>
              <w:widowControl w:val="0"/>
              <w:spacing w:before="0" w:after="0" w:afterAutospacing="0"/>
              <w:ind w:right="0"/>
              <w:jc w:val="center"/>
              <w:rPr>
                <w:rFonts w:ascii="宋体" w:hAnsi="宋体" w:cs="Calibri"/>
                <w:color w:val="auto"/>
                <w:highlight w:val="none"/>
              </w:rPr>
            </w:pPr>
          </w:p>
        </w:tc>
        <w:tc>
          <w:tcPr>
            <w:tcW w:w="1161" w:type="dxa"/>
            <w:vAlign w:val="center"/>
          </w:tcPr>
          <w:p>
            <w:pPr>
              <w:widowControl w:val="0"/>
              <w:spacing w:before="0" w:after="0" w:afterAutospacing="0"/>
              <w:ind w:right="0"/>
              <w:jc w:val="center"/>
              <w:rPr>
                <w:rFonts w:ascii="宋体" w:hAnsi="宋体" w:cs="Calibri"/>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bl>
    <w:p>
      <w:pPr>
        <w:pStyle w:val="2"/>
        <w:spacing w:line="240" w:lineRule="auto"/>
        <w:ind w:left="708" w:leftChars="200" w:right="-28" w:hanging="288" w:hangingChars="144"/>
        <w:rPr>
          <w:rFonts w:hAnsi="宋体"/>
          <w:color w:val="auto"/>
          <w:kern w:val="2"/>
          <w:highlight w:val="none"/>
        </w:rPr>
      </w:pPr>
      <w:r>
        <w:rPr>
          <w:rFonts w:hint="eastAsia" w:hAnsi="宋体"/>
          <w:color w:val="auto"/>
          <w:highlight w:val="none"/>
        </w:rPr>
        <w:t>说明：</w:t>
      </w:r>
      <w:r>
        <w:rPr>
          <w:rFonts w:hAnsi="宋体" w:cs="Calibri"/>
          <w:color w:val="auto"/>
          <w:kern w:val="2"/>
          <w:highlight w:val="none"/>
        </w:rPr>
        <w:t>1.</w:t>
      </w:r>
      <w:r>
        <w:rPr>
          <w:rFonts w:hAnsi="宋体"/>
          <w:color w:val="auto"/>
          <w:kern w:val="2"/>
          <w:highlight w:val="none"/>
        </w:rPr>
        <w:t>本通知未列明的性能参数等其他要求详见合同。</w:t>
      </w:r>
    </w:p>
    <w:p>
      <w:pPr>
        <w:pStyle w:val="2"/>
        <w:spacing w:line="240" w:lineRule="auto"/>
        <w:ind w:left="708" w:leftChars="200" w:right="-28" w:hanging="288" w:hangingChars="144"/>
        <w:rPr>
          <w:rFonts w:hAnsi="宋体"/>
          <w:color w:val="auto"/>
          <w:kern w:val="2"/>
          <w:highlight w:val="none"/>
        </w:rPr>
      </w:pPr>
      <w:r>
        <w:rPr>
          <w:rFonts w:hAnsi="宋体" w:cs="Calibri"/>
          <w:color w:val="auto"/>
          <w:kern w:val="2"/>
          <w:highlight w:val="none"/>
        </w:rPr>
        <w:t>2.</w:t>
      </w:r>
      <w:r>
        <w:rPr>
          <w:rFonts w:hAnsi="宋体"/>
          <w:color w:val="auto"/>
          <w:kern w:val="2"/>
          <w:highlight w:val="none"/>
        </w:rPr>
        <w:t>本通知加盖运营公司</w:t>
      </w:r>
      <w:r>
        <w:rPr>
          <w:rFonts w:hint="eastAsia" w:hAnsi="宋体"/>
          <w:color w:val="auto"/>
          <w:kern w:val="2"/>
          <w:highlight w:val="none"/>
        </w:rPr>
        <w:t>XX</w:t>
      </w:r>
      <w:r>
        <w:rPr>
          <w:rFonts w:hAnsi="宋体"/>
          <w:color w:val="auto"/>
          <w:kern w:val="2"/>
          <w:highlight w:val="none"/>
        </w:rPr>
        <w:t>部公章后有效，送货时携带纸质版一份。</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3.</w:t>
      </w:r>
      <w:r>
        <w:rPr>
          <w:rFonts w:hAnsi="宋体"/>
          <w:color w:val="auto"/>
          <w:kern w:val="2"/>
          <w:highlight w:val="none"/>
        </w:rPr>
        <w:t>本通知如有涂改须经甲方签名认可，否则无效。</w:t>
      </w:r>
    </w:p>
    <w:p>
      <w:pPr>
        <w:pStyle w:val="2"/>
        <w:spacing w:line="240" w:lineRule="auto"/>
        <w:ind w:left="708" w:leftChars="200" w:right="-28" w:hanging="288" w:hangingChars="144"/>
        <w:jc w:val="right"/>
        <w:rPr>
          <w:rFonts w:hAnsi="宋体"/>
          <w:color w:val="auto"/>
          <w:highlight w:val="none"/>
        </w:rPr>
      </w:pPr>
      <w:r>
        <w:rPr>
          <w:rFonts w:hint="eastAsia" w:hAnsi="宋体"/>
          <w:color w:val="auto"/>
          <w:highlight w:val="none"/>
        </w:rPr>
        <w:t>南宁轨道交通运营有限公司XX中心</w:t>
      </w:r>
    </w:p>
    <w:p>
      <w:pPr>
        <w:spacing w:before="0" w:after="0" w:afterAutospacing="0" w:line="240" w:lineRule="auto"/>
        <w:ind w:right="-57" w:rightChars="-27"/>
        <w:jc w:val="right"/>
        <w:textAlignment w:val="center"/>
        <w:rPr>
          <w:rFonts w:ascii="宋体" w:hAnsi="宋体" w:cs="宋体"/>
          <w:color w:val="auto"/>
          <w:highlight w:val="none"/>
        </w:rPr>
      </w:pPr>
      <w:r>
        <w:rPr>
          <w:rFonts w:hint="eastAsia" w:ascii="宋体" w:hAnsi="宋体" w:cs="宋体"/>
          <w:color w:val="auto"/>
          <w:highlight w:val="none"/>
        </w:rPr>
        <w:t>通知日期：      年    月    日</w:t>
      </w:r>
    </w:p>
    <w:p>
      <w:pPr>
        <w:pStyle w:val="2"/>
        <w:spacing w:line="240" w:lineRule="auto"/>
        <w:ind w:left="708" w:leftChars="200" w:right="-28" w:hanging="288" w:hangingChars="144"/>
        <w:rPr>
          <w:rFonts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附件6.4 送货单格式</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p>
      <w:pPr>
        <w:pStyle w:val="2"/>
        <w:spacing w:line="240" w:lineRule="auto"/>
        <w:ind w:left="2526" w:right="-28" w:hanging="6"/>
        <w:jc w:val="center"/>
        <w:rPr>
          <w:rFonts w:hAnsi="宋体"/>
          <w:color w:val="auto"/>
          <w:highlight w:val="none"/>
        </w:rPr>
      </w:pPr>
      <w:r>
        <w:rPr>
          <w:rFonts w:hint="eastAsia" w:hAnsi="宋体"/>
          <w:b/>
          <w:color w:val="auto"/>
          <w:highlight w:val="none"/>
        </w:rPr>
        <w:t xml:space="preserve"> </w:t>
      </w:r>
      <w:r>
        <w:rPr>
          <w:rFonts w:hAnsi="宋体"/>
          <w:b/>
          <w:color w:val="auto"/>
          <w:kern w:val="2"/>
          <w:highlight w:val="none"/>
        </w:rPr>
        <w:t xml:space="preserve"> 采购项目 号线 第  批 送货单</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供应商(章)：</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r>
              <w:rPr>
                <w:rFonts w:hint="eastAsia" w:hAnsi="宋体"/>
                <w:color w:val="auto"/>
                <w:highlight w:val="none"/>
              </w:rPr>
              <w:t>合计</w:t>
            </w: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bl>
    <w:p>
      <w:pPr>
        <w:pStyle w:val="2"/>
        <w:spacing w:line="240" w:lineRule="auto"/>
        <w:ind w:left="708" w:leftChars="200" w:right="-28" w:hanging="288" w:hangingChars="144"/>
        <w:rPr>
          <w:rFonts w:hAnsi="宋体"/>
          <w:color w:val="auto"/>
          <w:highlight w:val="none"/>
        </w:rPr>
      </w:pPr>
      <w:r>
        <w:rPr>
          <w:rFonts w:hint="eastAsia" w:hAnsi="宋体"/>
          <w:color w:val="auto"/>
          <w:highlight w:val="none"/>
        </w:rPr>
        <w:t>说明：</w:t>
      </w:r>
      <w:r>
        <w:rPr>
          <w:rFonts w:hAnsi="宋体" w:cs="Calibri"/>
          <w:color w:val="auto"/>
          <w:kern w:val="2"/>
          <w:highlight w:val="none"/>
        </w:rPr>
        <w:t>1.</w:t>
      </w:r>
      <w:r>
        <w:rPr>
          <w:rFonts w:hint="eastAsia" w:hAnsi="宋体"/>
          <w:color w:val="auto"/>
          <w:highlight w:val="none"/>
        </w:rPr>
        <w:t>送货时携带纸质版一式两份，仅做收货凭据，不做为验收合格和结算凭证；本单未列明的性能参数等其他要求详见合同。</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2.</w:t>
      </w:r>
      <w:r>
        <w:rPr>
          <w:rFonts w:hint="eastAsia" w:hAnsi="宋体"/>
          <w:color w:val="auto"/>
          <w:highlight w:val="none"/>
        </w:rPr>
        <w:t>实收数量栏不能留空，数量为“</w:t>
      </w:r>
      <w:r>
        <w:rPr>
          <w:rFonts w:hAnsi="宋体" w:cs="Calibri"/>
          <w:color w:val="auto"/>
          <w:kern w:val="2"/>
          <w:highlight w:val="none"/>
        </w:rPr>
        <w:t>0</w:t>
      </w:r>
      <w:r>
        <w:rPr>
          <w:rFonts w:hint="eastAsia" w:hAnsi="宋体"/>
          <w:color w:val="auto"/>
          <w:highlight w:val="none"/>
        </w:rPr>
        <w:t>”时用“</w:t>
      </w:r>
      <w:r>
        <w:rPr>
          <w:rFonts w:hAnsi="宋体" w:cs="Calibri"/>
          <w:color w:val="auto"/>
          <w:kern w:val="2"/>
          <w:highlight w:val="none"/>
        </w:rPr>
        <w:t>/</w:t>
      </w:r>
      <w:r>
        <w:rPr>
          <w:rFonts w:hint="eastAsia" w:hAnsi="宋体"/>
          <w:color w:val="auto"/>
          <w:highlight w:val="none"/>
        </w:rPr>
        <w:t>”表示；“合计”栏中的</w:t>
      </w:r>
      <w:r>
        <w:rPr>
          <w:rFonts w:hAnsi="宋体" w:cs="Calibri"/>
          <w:color w:val="auto"/>
          <w:kern w:val="2"/>
          <w:highlight w:val="none"/>
        </w:rPr>
        <w:t>"</w:t>
      </w:r>
      <w:r>
        <w:rPr>
          <w:rFonts w:hint="eastAsia" w:hAnsi="宋体"/>
          <w:color w:val="auto"/>
          <w:highlight w:val="none"/>
        </w:rPr>
        <w:t>实收数量</w:t>
      </w:r>
      <w:r>
        <w:rPr>
          <w:rFonts w:hAnsi="宋体" w:cs="Calibri"/>
          <w:color w:val="auto"/>
          <w:kern w:val="2"/>
          <w:highlight w:val="none"/>
        </w:rPr>
        <w:t>"</w:t>
      </w:r>
      <w:r>
        <w:rPr>
          <w:rFonts w:hint="eastAsia" w:hAnsi="宋体"/>
          <w:color w:val="auto"/>
          <w:highlight w:val="none"/>
        </w:rPr>
        <w:t>为必填项。</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3.</w:t>
      </w:r>
      <w:r>
        <w:rPr>
          <w:rFonts w:hint="eastAsia" w:hAnsi="宋体"/>
          <w:color w:val="auto"/>
          <w:highlight w:val="none"/>
        </w:rPr>
        <w:t>本清单如有涂改必须有双方签名认可，否则无效。</w:t>
      </w:r>
    </w:p>
    <w:p>
      <w:pPr>
        <w:pStyle w:val="2"/>
        <w:spacing w:line="240" w:lineRule="auto"/>
        <w:ind w:left="708" w:leftChars="200" w:right="-28" w:hanging="288" w:hangingChars="144"/>
        <w:rPr>
          <w:rFonts w:hAnsi="宋体"/>
          <w:color w:val="auto"/>
          <w:highlight w:val="none"/>
        </w:rPr>
      </w:pPr>
      <w:r>
        <w:rPr>
          <w:rFonts w:hint="eastAsia" w:hAnsi="宋体"/>
          <w:color w:val="auto"/>
          <w:highlight w:val="none"/>
        </w:rPr>
        <w:t>送货人（签名）：　　　　　　　　　　　　　　　运输工具及车号：</w:t>
      </w:r>
    </w:p>
    <w:p>
      <w:pPr>
        <w:pStyle w:val="2"/>
        <w:spacing w:line="240" w:lineRule="auto"/>
        <w:ind w:left="708" w:leftChars="200" w:right="-28" w:hanging="288" w:hangingChars="144"/>
        <w:rPr>
          <w:rFonts w:hAnsi="宋体"/>
          <w:color w:val="auto"/>
          <w:highlight w:val="none"/>
        </w:rPr>
      </w:pPr>
      <w:r>
        <w:rPr>
          <w:rFonts w:hint="eastAsia" w:hAnsi="宋体"/>
          <w:color w:val="auto"/>
          <w:highlight w:val="none"/>
        </w:rPr>
        <w:t>收货人（签名）：　　　　　　　　　　　　　　　收货时间：</w:t>
      </w:r>
    </w:p>
    <w:p>
      <w:pPr>
        <w:pStyle w:val="2"/>
        <w:spacing w:line="240" w:lineRule="auto"/>
        <w:ind w:left="708" w:leftChars="200" w:right="-28" w:hanging="288" w:hangingChars="144"/>
        <w:rPr>
          <w:rFonts w:hAnsi="宋体"/>
          <w:color w:val="auto"/>
          <w:highlight w:val="none"/>
        </w:rPr>
      </w:pPr>
    </w:p>
    <w:p>
      <w:pPr>
        <w:pStyle w:val="52"/>
        <w:pageBreakBefore/>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4"/>
        <w:spacing w:before="40" w:after="40" w:line="240" w:lineRule="auto"/>
        <w:jc w:val="center"/>
        <w:rPr>
          <w:rFonts w:ascii="Times New Roman" w:hAnsi="Times New Roman" w:eastAsia="宋体"/>
          <w:color w:val="auto"/>
          <w:highlight w:val="none"/>
        </w:rPr>
      </w:pPr>
      <w:bookmarkStart w:id="204" w:name="_Toc101965695"/>
      <w:bookmarkStart w:id="205" w:name="_Toc24244"/>
      <w:bookmarkStart w:id="206" w:name="_Toc92268652"/>
      <w:r>
        <w:rPr>
          <w:rFonts w:ascii="Times New Roman" w:hAnsi="Times New Roman" w:eastAsia="宋体"/>
          <w:color w:val="auto"/>
          <w:highlight w:val="none"/>
        </w:rPr>
        <w:t>第</w:t>
      </w:r>
      <w:r>
        <w:rPr>
          <w:rFonts w:hint="eastAsia" w:ascii="Times New Roman" w:hAnsi="Times New Roman" w:eastAsia="宋体"/>
          <w:color w:val="auto"/>
          <w:highlight w:val="none"/>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bookmarkEnd w:id="204"/>
      <w:bookmarkEnd w:id="205"/>
      <w:bookmarkEnd w:id="206"/>
    </w:p>
    <w:p>
      <w:pPr>
        <w:pStyle w:val="52"/>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2"/>
        <w:adjustRightInd/>
        <w:spacing w:before="0" w:after="0" w:line="360" w:lineRule="auto"/>
        <w:ind w:left="0" w:right="0"/>
        <w:rPr>
          <w:rFonts w:ascii="宋体" w:hAnsi="宋体"/>
          <w:color w:val="auto"/>
          <w:sz w:val="21"/>
          <w:szCs w:val="21"/>
          <w:highlight w:val="none"/>
        </w:rPr>
      </w:pPr>
    </w:p>
    <w:p>
      <w:pPr>
        <w:pStyle w:val="52"/>
        <w:pageBreakBefore/>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4"/>
        <w:spacing w:before="40" w:after="40" w:line="240" w:lineRule="auto"/>
        <w:jc w:val="center"/>
        <w:rPr>
          <w:rFonts w:ascii="Times New Roman" w:hAnsi="Times New Roman" w:eastAsia="宋体"/>
          <w:color w:val="auto"/>
          <w:highlight w:val="none"/>
        </w:rPr>
      </w:pPr>
      <w:bookmarkStart w:id="207" w:name="_Toc21928"/>
      <w:bookmarkStart w:id="208" w:name="_Toc92268653"/>
      <w:bookmarkStart w:id="209" w:name="_Toc101965696"/>
      <w:r>
        <w:rPr>
          <w:rFonts w:ascii="Times New Roman" w:hAnsi="Times New Roman" w:eastAsia="宋体"/>
          <w:color w:val="auto"/>
          <w:highlight w:val="none"/>
        </w:rPr>
        <w:t>第</w:t>
      </w:r>
      <w:r>
        <w:rPr>
          <w:rFonts w:hint="eastAsia" w:ascii="Times New Roman" w:hAnsi="Times New Roman" w:eastAsia="宋体"/>
          <w:color w:val="auto"/>
          <w:highlight w:val="none"/>
        </w:rPr>
        <w:t>八</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bookmarkEnd w:id="207"/>
      <w:bookmarkEnd w:id="208"/>
      <w:bookmarkEnd w:id="209"/>
    </w:p>
    <w:p>
      <w:pPr>
        <w:pStyle w:val="52"/>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Style w:val="52"/>
        <w:adjustRightInd/>
        <w:spacing w:before="0" w:after="0" w:line="360" w:lineRule="auto"/>
        <w:ind w:left="0" w:right="0"/>
        <w:rPr>
          <w:rFonts w:ascii="宋体" w:hAnsi="宋体"/>
          <w:color w:val="auto"/>
          <w:sz w:val="21"/>
          <w:szCs w:val="21"/>
          <w:highlight w:val="none"/>
        </w:rPr>
      </w:pPr>
    </w:p>
    <w:p>
      <w:pPr>
        <w:pageBreakBefore/>
        <w:spacing w:line="300" w:lineRule="exact"/>
        <w:ind w:left="950" w:right="-28" w:hanging="950" w:hangingChars="338"/>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00" w:lineRule="exact"/>
        <w:jc w:val="center"/>
        <w:rPr>
          <w:rFonts w:ascii="宋体"/>
          <w:b/>
          <w:color w:val="auto"/>
          <w:sz w:val="28"/>
          <w:szCs w:val="30"/>
          <w:highlight w:val="none"/>
        </w:rPr>
      </w:pPr>
    </w:p>
    <w:p>
      <w:pPr>
        <w:pStyle w:val="2"/>
        <w:ind w:left="1" w:right="-57" w:firstLine="0"/>
        <w:jc w:val="center"/>
        <w:outlineLvl w:val="0"/>
        <w:rPr>
          <w:rStyle w:val="39"/>
          <w:rFonts w:hAnsi="宋体"/>
          <w:color w:val="auto"/>
          <w:sz w:val="44"/>
          <w:szCs w:val="44"/>
          <w:highlight w:val="none"/>
        </w:rPr>
      </w:pPr>
      <w:bookmarkStart w:id="210" w:name="_Toc101965697"/>
      <w:r>
        <w:rPr>
          <w:rStyle w:val="39"/>
          <w:rFonts w:hint="eastAsia" w:hAnsi="宋体"/>
          <w:color w:val="auto"/>
          <w:sz w:val="44"/>
          <w:szCs w:val="44"/>
          <w:highlight w:val="none"/>
        </w:rPr>
        <w:t>第四章 比选申请文件格式</w:t>
      </w:r>
      <w:bookmarkEnd w:id="210"/>
    </w:p>
    <w:p>
      <w:pPr>
        <w:spacing w:after="120" w:afterLines="50"/>
        <w:jc w:val="center"/>
        <w:rPr>
          <w:b/>
          <w:color w:val="auto"/>
          <w:sz w:val="44"/>
          <w:szCs w:val="44"/>
          <w:highlight w:val="none"/>
        </w:rPr>
      </w:pPr>
    </w:p>
    <w:p>
      <w:pPr>
        <w:pStyle w:val="52"/>
        <w:adjustRightInd/>
        <w:spacing w:before="0" w:after="0" w:line="360" w:lineRule="auto"/>
        <w:ind w:left="0" w:right="0"/>
        <w:rPr>
          <w:rFonts w:ascii="宋体" w:hAnsi="宋体"/>
          <w:color w:val="auto"/>
          <w:sz w:val="21"/>
          <w:szCs w:val="21"/>
          <w:highlight w:val="none"/>
        </w:rPr>
      </w:pPr>
    </w:p>
    <w:p>
      <w:pPr>
        <w:tabs>
          <w:tab w:val="left" w:pos="1134"/>
          <w:tab w:val="left" w:pos="8364"/>
        </w:tabs>
        <w:spacing w:before="0"/>
        <w:ind w:right="-57"/>
        <w:rPr>
          <w:rFonts w:ascii="宋体" w:hAnsi="宋体"/>
          <w:color w:val="auto"/>
          <w:highlight w:val="none"/>
        </w:rPr>
      </w:pPr>
    </w:p>
    <w:p>
      <w:pPr>
        <w:pStyle w:val="2"/>
        <w:pageBreakBefore/>
        <w:ind w:left="0" w:right="-57" w:firstLine="0"/>
        <w:jc w:val="left"/>
        <w:rPr>
          <w:rStyle w:val="39"/>
          <w:rFonts w:ascii="宋体" w:hAnsi="宋体" w:eastAsia="宋体"/>
          <w:color w:val="auto"/>
          <w:sz w:val="21"/>
          <w:szCs w:val="21"/>
          <w:highlight w:val="none"/>
        </w:rPr>
      </w:pPr>
      <w:r>
        <w:rPr>
          <w:rFonts w:hAnsi="宋体"/>
          <w:b/>
          <w:color w:val="auto"/>
          <w:sz w:val="21"/>
          <w:szCs w:val="21"/>
          <w:highlight w:val="none"/>
        </w:rPr>
        <w:pict>
          <v:shape id="_x0000_s1027" o:spid="_x0000_s1027" o:spt="202" type="#_x0000_t202" style="position:absolute;left:0pt;margin-left:308.55pt;margin-top:19.1pt;height:42.5pt;width:117.35pt;z-index:251678720;mso-width-relative:page;mso-height-relative:page;" coordsize="21600,21600">
            <v:path/>
            <v:fill focussize="0,0"/>
            <v:stroke joinstyle="miter"/>
            <v:imagedata o:title=""/>
            <o:lock v:ext="edit"/>
            <v:textbox>
              <w:txbxContent>
                <w:p>
                  <w:pPr>
                    <w:ind w:left="0" w:firstLine="0"/>
                    <w:jc w:val="center"/>
                    <w:rPr>
                      <w:sz w:val="36"/>
                      <w:szCs w:val="36"/>
                    </w:rPr>
                  </w:pPr>
                  <w:r>
                    <w:rPr>
                      <w:rFonts w:hint="eastAsia"/>
                      <w:sz w:val="36"/>
                      <w:szCs w:val="36"/>
                    </w:rPr>
                    <w:t>正本/副本</w:t>
                  </w:r>
                </w:p>
              </w:txbxContent>
            </v:textbox>
          </v:shape>
        </w:pict>
      </w:r>
      <w:r>
        <w:rPr>
          <w:rStyle w:val="39"/>
          <w:rFonts w:hint="eastAsia" w:ascii="宋体" w:hAnsi="宋体" w:eastAsia="宋体"/>
          <w:color w:val="auto"/>
          <w:sz w:val="21"/>
          <w:szCs w:val="21"/>
          <w:highlight w:val="none"/>
        </w:rPr>
        <w:t>（比选申请文件封面格式）</w:t>
      </w:r>
    </w:p>
    <w:p>
      <w:pPr>
        <w:jc w:val="left"/>
        <w:rPr>
          <w:color w:val="auto"/>
          <w:highlight w:val="none"/>
        </w:rPr>
      </w:pPr>
    </w:p>
    <w:p>
      <w:pPr>
        <w:ind w:right="840"/>
        <w:rPr>
          <w:color w:val="auto"/>
          <w:highlight w:val="none"/>
        </w:rPr>
      </w:pPr>
    </w:p>
    <w:p>
      <w:pPr>
        <w:ind w:right="840"/>
        <w:rPr>
          <w:color w:val="auto"/>
          <w:highlight w:val="none"/>
        </w:rPr>
      </w:pPr>
    </w:p>
    <w:p>
      <w:pPr>
        <w:jc w:val="center"/>
        <w:rPr>
          <w:rFonts w:ascii="宋体" w:hAnsi="宋体"/>
          <w:b/>
          <w:color w:val="auto"/>
          <w:spacing w:val="-4"/>
          <w:sz w:val="44"/>
          <w:szCs w:val="44"/>
          <w:highlight w:val="none"/>
          <w:u w:val="single"/>
        </w:rPr>
      </w:pPr>
      <w:r>
        <w:rPr>
          <w:rFonts w:hint="eastAsia" w:ascii="宋体" w:hAnsi="宋体"/>
          <w:b/>
          <w:color w:val="auto"/>
          <w:spacing w:val="-4"/>
          <w:sz w:val="44"/>
          <w:szCs w:val="44"/>
          <w:highlight w:val="none"/>
          <w:u w:val="single"/>
        </w:rPr>
        <w:t xml:space="preserve">   南宁轨道交通运营有限公司</w:t>
      </w:r>
    </w:p>
    <w:p>
      <w:pPr>
        <w:jc w:val="center"/>
        <w:rPr>
          <w:color w:val="auto"/>
          <w:sz w:val="28"/>
          <w:szCs w:val="28"/>
          <w:highlight w:val="none"/>
        </w:rPr>
      </w:pPr>
      <w:r>
        <w:rPr>
          <w:rFonts w:hint="eastAsia" w:ascii="宋体" w:hAnsi="宋体"/>
          <w:b/>
          <w:color w:val="auto"/>
          <w:spacing w:val="-4"/>
          <w:sz w:val="44"/>
          <w:szCs w:val="44"/>
          <w:highlight w:val="none"/>
          <w:u w:val="single"/>
        </w:rPr>
        <w:t>2023年办公家具采购项目</w:t>
      </w:r>
    </w:p>
    <w:p>
      <w:pPr>
        <w:jc w:val="center"/>
        <w:rPr>
          <w:color w:val="auto"/>
          <w:sz w:val="28"/>
          <w:szCs w:val="28"/>
          <w:highlight w:val="none"/>
        </w:rPr>
      </w:pPr>
    </w:p>
    <w:p>
      <w:pPr>
        <w:jc w:val="center"/>
        <w:rPr>
          <w:color w:val="auto"/>
          <w:sz w:val="28"/>
          <w:szCs w:val="28"/>
          <w:highlight w:val="none"/>
        </w:rPr>
      </w:pPr>
    </w:p>
    <w:p>
      <w:pPr>
        <w:spacing w:before="240" w:beforeLines="100"/>
        <w:jc w:val="center"/>
        <w:rPr>
          <w:color w:val="auto"/>
          <w:sz w:val="56"/>
          <w:szCs w:val="56"/>
          <w:highlight w:val="none"/>
        </w:rPr>
      </w:pPr>
      <w:r>
        <w:rPr>
          <w:rFonts w:hint="eastAsia"/>
          <w:color w:val="auto"/>
          <w:sz w:val="56"/>
          <w:szCs w:val="56"/>
          <w:highlight w:val="none"/>
        </w:rPr>
        <w:t>比选申请</w:t>
      </w:r>
      <w:r>
        <w:rPr>
          <w:color w:val="auto"/>
          <w:sz w:val="56"/>
          <w:szCs w:val="56"/>
          <w:highlight w:val="none"/>
        </w:rPr>
        <w:t>文件</w:t>
      </w:r>
    </w:p>
    <w:p>
      <w:pPr>
        <w:ind w:firstLine="2380" w:firstLineChars="850"/>
        <w:rPr>
          <w:color w:val="auto"/>
          <w:sz w:val="28"/>
          <w:szCs w:val="28"/>
          <w:highlight w:val="none"/>
          <w:u w:val="single"/>
        </w:rPr>
      </w:pPr>
      <w:r>
        <w:rPr>
          <w:rFonts w:hint="eastAsia"/>
          <w:color w:val="auto"/>
          <w:sz w:val="28"/>
          <w:szCs w:val="28"/>
          <w:highlight w:val="none"/>
        </w:rPr>
        <w:t>（</w:t>
      </w:r>
      <w:r>
        <w:rPr>
          <w:color w:val="auto"/>
          <w:sz w:val="28"/>
          <w:szCs w:val="28"/>
          <w:highlight w:val="none"/>
        </w:rPr>
        <w:t>项目编号：</w:t>
      </w:r>
      <w:r>
        <w:rPr>
          <w:rFonts w:hint="eastAsia"/>
          <w:color w:val="auto"/>
          <w:sz w:val="28"/>
          <w:szCs w:val="28"/>
          <w:highlight w:val="none"/>
          <w:u w:val="single"/>
        </w:rPr>
        <w:t>202305170008</w:t>
      </w:r>
      <w:r>
        <w:rPr>
          <w:rFonts w:hint="eastAsia"/>
          <w:color w:val="auto"/>
          <w:sz w:val="28"/>
          <w:szCs w:val="28"/>
          <w:highlight w:val="none"/>
        </w:rPr>
        <w:t>）</w:t>
      </w: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ind w:firstLine="1400" w:firstLineChars="500"/>
        <w:rPr>
          <w:color w:val="auto"/>
          <w:sz w:val="28"/>
          <w:szCs w:val="28"/>
          <w:highlight w:val="none"/>
        </w:rPr>
      </w:pPr>
      <w:r>
        <w:rPr>
          <w:rFonts w:hint="eastAsia"/>
          <w:color w:val="auto"/>
          <w:sz w:val="28"/>
          <w:szCs w:val="28"/>
          <w:highlight w:val="none"/>
        </w:rPr>
        <w:t>比选申请</w:t>
      </w:r>
      <w:r>
        <w:rPr>
          <w:color w:val="auto"/>
          <w:sz w:val="28"/>
          <w:szCs w:val="28"/>
          <w:highlight w:val="none"/>
        </w:rPr>
        <w:t>人：（</w:t>
      </w:r>
      <w:bookmarkStart w:id="211" w:name="_Hlk70427841"/>
      <w:r>
        <w:rPr>
          <w:color w:val="auto"/>
          <w:sz w:val="28"/>
          <w:szCs w:val="28"/>
          <w:highlight w:val="none"/>
        </w:rPr>
        <w:t>盖公章</w:t>
      </w:r>
      <w:bookmarkEnd w:id="211"/>
      <w:r>
        <w:rPr>
          <w:color w:val="auto"/>
          <w:sz w:val="28"/>
          <w:szCs w:val="28"/>
          <w:highlight w:val="none"/>
        </w:rPr>
        <w:t>）</w:t>
      </w:r>
    </w:p>
    <w:p>
      <w:pPr>
        <w:ind w:firstLine="1400" w:firstLineChars="500"/>
        <w:rPr>
          <w:rFonts w:hAnsi="宋体"/>
          <w:color w:val="auto"/>
          <w:highlight w:val="none"/>
        </w:rPr>
      </w:pPr>
      <w:r>
        <w:rPr>
          <w:color w:val="auto"/>
          <w:sz w:val="28"/>
          <w:szCs w:val="28"/>
          <w:highlight w:val="none"/>
        </w:rPr>
        <w:t>法定代表人或其委托代理人：（签字或盖章）</w:t>
      </w:r>
    </w:p>
    <w:p>
      <w:pPr>
        <w:pStyle w:val="2"/>
        <w:pageBreakBefore/>
        <w:ind w:right="-57" w:firstLine="0"/>
        <w:jc w:val="center"/>
        <w:rPr>
          <w:rStyle w:val="39"/>
          <w:rFonts w:ascii="宋体" w:hAnsi="宋体" w:eastAsia="宋体"/>
          <w:color w:val="auto"/>
          <w:highlight w:val="none"/>
        </w:rPr>
      </w:pPr>
      <w:r>
        <w:rPr>
          <w:rStyle w:val="39"/>
          <w:rFonts w:hint="eastAsia" w:ascii="宋体" w:hAnsi="宋体" w:eastAsia="宋体"/>
          <w:color w:val="auto"/>
          <w:highlight w:val="none"/>
        </w:rPr>
        <w:t>目 录</w:t>
      </w:r>
    </w:p>
    <w:p>
      <w:pPr>
        <w:spacing w:before="0" w:after="0" w:afterAutospacing="0"/>
        <w:ind w:left="0" w:right="0" w:firstLine="420" w:firstLineChars="200"/>
        <w:rPr>
          <w:rFonts w:hAnsi="宋体"/>
          <w:color w:val="auto"/>
          <w:highlight w:val="none"/>
        </w:rPr>
      </w:pPr>
      <w:bookmarkStart w:id="212" w:name="_Toc23261"/>
      <w:bookmarkStart w:id="213" w:name="_Toc21274"/>
      <w:bookmarkStart w:id="214" w:name="_Toc12984805"/>
      <w:bookmarkStart w:id="215" w:name="_Toc6941"/>
      <w:bookmarkStart w:id="216" w:name="_Toc414290520"/>
      <w:bookmarkStart w:id="217" w:name="_Toc25325"/>
      <w:bookmarkStart w:id="218" w:name="_Toc4027"/>
      <w:bookmarkStart w:id="219" w:name="_Toc19412"/>
      <w:bookmarkStart w:id="220" w:name="_Toc3396"/>
      <w:bookmarkStart w:id="221" w:name="_Toc4873"/>
      <w:bookmarkStart w:id="222" w:name="_Toc22709"/>
      <w:bookmarkStart w:id="223" w:name="_Toc16671"/>
      <w:bookmarkStart w:id="224" w:name="_Toc31535"/>
      <w:bookmarkStart w:id="225" w:name="_Toc24824"/>
      <w:bookmarkStart w:id="226" w:name="_Toc31624"/>
      <w:bookmarkStart w:id="227" w:name="_Toc24453"/>
      <w:bookmarkStart w:id="228" w:name="_Toc30705"/>
      <w:bookmarkStart w:id="229" w:name="_Toc492478802"/>
      <w:bookmarkStart w:id="230" w:name="_Toc32185"/>
      <w:bookmarkStart w:id="231" w:name="_Toc12983549"/>
      <w:bookmarkStart w:id="232" w:name="_Toc361"/>
    </w:p>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Pr>
        <w:pStyle w:val="17"/>
        <w:rPr>
          <w:b/>
          <w:color w:val="auto"/>
          <w:highlight w:val="none"/>
          <w:lang w:val="zh-CN"/>
        </w:rPr>
      </w:pPr>
      <w:r>
        <w:rPr>
          <w:rFonts w:hint="eastAsia"/>
          <w:b/>
          <w:color w:val="auto"/>
          <w:highlight w:val="none"/>
        </w:rPr>
        <w:t>一、比选申请函</w:t>
      </w:r>
      <w:r>
        <w:rPr>
          <w:b/>
          <w:color w:val="auto"/>
          <w:highlight w:val="none"/>
        </w:rPr>
        <w:ptab w:relativeTo="margin" w:alignment="right" w:leader="dot"/>
      </w:r>
    </w:p>
    <w:p>
      <w:pPr>
        <w:pStyle w:val="17"/>
        <w:rPr>
          <w:b/>
          <w:color w:val="auto"/>
          <w:highlight w:val="none"/>
        </w:rPr>
      </w:pPr>
      <w:r>
        <w:rPr>
          <w:rFonts w:hint="eastAsia"/>
          <w:b/>
          <w:color w:val="auto"/>
          <w:highlight w:val="none"/>
        </w:rPr>
        <w:t>二、比选承诺函</w:t>
      </w:r>
      <w:r>
        <w:rPr>
          <w:b/>
          <w:color w:val="auto"/>
          <w:highlight w:val="none"/>
        </w:rPr>
        <w:ptab w:relativeTo="margin" w:alignment="right" w:leader="dot"/>
      </w:r>
    </w:p>
    <w:p>
      <w:pPr>
        <w:pStyle w:val="17"/>
        <w:rPr>
          <w:b/>
          <w:color w:val="auto"/>
          <w:highlight w:val="none"/>
        </w:rPr>
      </w:pPr>
      <w:r>
        <w:rPr>
          <w:rFonts w:hint="eastAsia"/>
          <w:b/>
          <w:color w:val="auto"/>
          <w:highlight w:val="none"/>
        </w:rPr>
        <w:t>三、比选申请报价表</w:t>
      </w:r>
      <w:r>
        <w:rPr>
          <w:b/>
          <w:color w:val="auto"/>
          <w:highlight w:val="none"/>
        </w:rPr>
        <w:ptab w:relativeTo="margin" w:alignment="right" w:leader="dot"/>
      </w:r>
    </w:p>
    <w:p>
      <w:pPr>
        <w:pStyle w:val="22"/>
        <w:ind w:left="216" w:firstLine="21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3.1比选申请报价一览表</w:t>
      </w:r>
      <w:r>
        <w:rPr>
          <w:rFonts w:asciiTheme="minorHAnsi" w:hAnsiTheme="minorHAnsi" w:eastAsiaTheme="minorEastAsia"/>
          <w:color w:val="auto"/>
          <w:sz w:val="22"/>
          <w:szCs w:val="22"/>
          <w:highlight w:val="none"/>
        </w:rPr>
        <w:ptab w:relativeTo="margin" w:alignment="right" w:leader="dot"/>
      </w:r>
    </w:p>
    <w:p>
      <w:pPr>
        <w:pStyle w:val="22"/>
        <w:ind w:left="216" w:firstLine="21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3.2比选申请报价明细表</w:t>
      </w:r>
      <w:r>
        <w:rPr>
          <w:rFonts w:asciiTheme="minorHAnsi" w:hAnsiTheme="minorHAnsi" w:eastAsiaTheme="minorEastAsia"/>
          <w:color w:val="auto"/>
          <w:sz w:val="22"/>
          <w:szCs w:val="22"/>
          <w:highlight w:val="none"/>
        </w:rPr>
        <w:ptab w:relativeTo="margin" w:alignment="right" w:leader="dot"/>
      </w:r>
    </w:p>
    <w:p>
      <w:pPr>
        <w:pStyle w:val="17"/>
        <w:rPr>
          <w:rFonts w:cstheme="minorBidi"/>
          <w:b/>
          <w:color w:val="auto"/>
          <w:sz w:val="22"/>
          <w:szCs w:val="22"/>
          <w:highlight w:val="none"/>
        </w:rPr>
      </w:pPr>
      <w:r>
        <w:rPr>
          <w:rFonts w:hint="eastAsia" w:cstheme="minorBidi"/>
          <w:b/>
          <w:color w:val="auto"/>
          <w:sz w:val="22"/>
          <w:szCs w:val="22"/>
          <w:highlight w:val="none"/>
        </w:rPr>
        <w:t>四、法定代表人身份证明及授权书</w:t>
      </w:r>
    </w:p>
    <w:p>
      <w:pPr>
        <w:pStyle w:val="22"/>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4.1法定代表人资格证明书</w:t>
      </w:r>
      <w:r>
        <w:rPr>
          <w:rFonts w:asciiTheme="minorHAnsi" w:hAnsiTheme="minorHAnsi" w:eastAsiaTheme="minorEastAsia"/>
          <w:color w:val="auto"/>
          <w:sz w:val="22"/>
          <w:szCs w:val="22"/>
          <w:highlight w:val="none"/>
        </w:rPr>
        <w:ptab w:relativeTo="margin" w:alignment="right" w:leader="dot"/>
      </w:r>
    </w:p>
    <w:p>
      <w:pPr>
        <w:pStyle w:val="22"/>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4.2法定代表人资格授权书</w:t>
      </w:r>
      <w:r>
        <w:rPr>
          <w:rFonts w:asciiTheme="minorHAnsi" w:hAnsiTheme="minorHAnsi" w:eastAsiaTheme="minorEastAsia"/>
          <w:color w:val="auto"/>
          <w:sz w:val="22"/>
          <w:szCs w:val="22"/>
          <w:highlight w:val="none"/>
        </w:rPr>
        <w:ptab w:relativeTo="margin" w:alignment="right" w:leader="dot"/>
      </w:r>
    </w:p>
    <w:p>
      <w:pPr>
        <w:pStyle w:val="17"/>
        <w:rPr>
          <w:b/>
          <w:color w:val="auto"/>
          <w:highlight w:val="none"/>
        </w:rPr>
      </w:pPr>
      <w:r>
        <w:rPr>
          <w:rFonts w:hint="eastAsia"/>
          <w:b/>
          <w:color w:val="auto"/>
          <w:highlight w:val="none"/>
        </w:rPr>
        <w:t>五、企业证照</w:t>
      </w:r>
      <w:r>
        <w:rPr>
          <w:b/>
          <w:color w:val="auto"/>
          <w:highlight w:val="none"/>
        </w:rPr>
        <w:ptab w:relativeTo="margin" w:alignment="right" w:leader="dot"/>
      </w:r>
    </w:p>
    <w:p>
      <w:pPr>
        <w:pStyle w:val="17"/>
        <w:rPr>
          <w:b/>
          <w:color w:val="auto"/>
          <w:highlight w:val="none"/>
        </w:rPr>
      </w:pPr>
      <w:r>
        <w:rPr>
          <w:rFonts w:hint="eastAsia"/>
          <w:b/>
          <w:color w:val="auto"/>
          <w:highlight w:val="none"/>
        </w:rPr>
        <w:t>六、类似项目业绩表</w:t>
      </w:r>
      <w:r>
        <w:rPr>
          <w:b/>
          <w:color w:val="auto"/>
          <w:highlight w:val="none"/>
        </w:rPr>
        <w:ptab w:relativeTo="margin" w:alignment="right" w:leader="dot"/>
      </w:r>
    </w:p>
    <w:p>
      <w:pPr>
        <w:pStyle w:val="17"/>
        <w:rPr>
          <w:b/>
          <w:color w:val="auto"/>
          <w:highlight w:val="none"/>
        </w:rPr>
      </w:pPr>
      <w:r>
        <w:rPr>
          <w:rFonts w:hint="eastAsia"/>
          <w:b/>
          <w:color w:val="auto"/>
          <w:highlight w:val="none"/>
        </w:rPr>
        <w:t>七、比选响应表</w:t>
      </w:r>
      <w:r>
        <w:rPr>
          <w:b/>
          <w:color w:val="auto"/>
          <w:highlight w:val="none"/>
        </w:rPr>
        <w:ptab w:relativeTo="margin" w:alignment="right" w:leader="dot"/>
      </w:r>
    </w:p>
    <w:p>
      <w:pPr>
        <w:pStyle w:val="17"/>
        <w:rPr>
          <w:b/>
          <w:color w:val="auto"/>
          <w:highlight w:val="none"/>
        </w:rPr>
      </w:pPr>
      <w:r>
        <w:rPr>
          <w:rFonts w:hint="eastAsia"/>
          <w:b/>
          <w:color w:val="auto"/>
          <w:highlight w:val="none"/>
        </w:rPr>
        <w:t>八、其他</w:t>
      </w:r>
      <w:r>
        <w:rPr>
          <w:b/>
          <w:color w:val="auto"/>
          <w:highlight w:val="none"/>
        </w:rPr>
        <w:ptab w:relativeTo="margin" w:alignment="right" w:leader="dot"/>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33" w:name="_Toc101965698"/>
      <w:r>
        <w:rPr>
          <w:rFonts w:hint="eastAsia" w:ascii="Times New Roman" w:hAnsi="Times New Roman" w:eastAsia="宋体"/>
          <w:color w:val="auto"/>
          <w:highlight w:val="none"/>
        </w:rPr>
        <w:t>一、比选申请函</w:t>
      </w:r>
      <w:bookmarkEnd w:id="233"/>
    </w:p>
    <w:p>
      <w:pPr>
        <w:spacing w:before="0" w:after="0" w:afterAutospacing="0"/>
        <w:ind w:left="0" w:right="0" w:firstLine="420" w:firstLineChars="200"/>
        <w:rPr>
          <w:rFonts w:hAnsi="宋体"/>
          <w:color w:val="auto"/>
          <w:highlight w:val="none"/>
        </w:rPr>
      </w:pPr>
    </w:p>
    <w:p>
      <w:pPr>
        <w:snapToGrid w:val="0"/>
        <w:spacing w:before="0" w:after="0" w:afterAutospacing="0"/>
        <w:ind w:left="0" w:right="0" w:firstLine="420" w:firstLineChars="200"/>
        <w:rPr>
          <w:rFonts w:hAnsi="宋体"/>
          <w:color w:val="auto"/>
          <w:highlight w:val="none"/>
        </w:rPr>
      </w:pPr>
      <w:r>
        <w:rPr>
          <w:rFonts w:hint="eastAsia" w:hAnsi="宋体"/>
          <w:color w:val="auto"/>
          <w:highlight w:val="none"/>
        </w:rPr>
        <w:t>致：</w:t>
      </w:r>
      <w:r>
        <w:rPr>
          <w:rFonts w:hint="eastAsia" w:ascii="宋体" w:hAnsi="宋体" w:cs="Arial"/>
          <w:color w:val="auto"/>
          <w:highlight w:val="none"/>
          <w:u w:val="single"/>
        </w:rPr>
        <w:t xml:space="preserve"> 南宁轨道交通运营有限公司</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根据贵方为</w:t>
      </w:r>
      <w:r>
        <w:rPr>
          <w:rFonts w:hint="eastAsia" w:ascii="宋体" w:hAnsi="宋体" w:cs="Arial"/>
          <w:color w:val="auto"/>
          <w:highlight w:val="none"/>
          <w:u w:val="single"/>
        </w:rPr>
        <w:t>南宁轨道交通运营有限公司2023年办公家具采购项目</w:t>
      </w:r>
      <w:r>
        <w:rPr>
          <w:rFonts w:hint="eastAsia" w:asciiTheme="minorEastAsia" w:hAnsiTheme="minorEastAsia" w:eastAsiaTheme="minorEastAsia"/>
          <w:color w:val="auto"/>
          <w:highlight w:val="none"/>
        </w:rPr>
        <w:t>的比选公告（项目编号</w:t>
      </w:r>
      <w:r>
        <w:rPr>
          <w:rFonts w:hint="eastAsia" w:ascii="宋体" w:hAnsi="宋体" w:cs="Arial"/>
          <w:color w:val="auto"/>
          <w:highlight w:val="none"/>
          <w:u w:val="single"/>
        </w:rPr>
        <w:t>202305170008</w:t>
      </w:r>
      <w:r>
        <w:rPr>
          <w:rFonts w:hint="eastAsia" w:asciiTheme="minorEastAsia" w:hAnsiTheme="minorEastAsia" w:eastAsiaTheme="minorEastAsia"/>
          <w:color w:val="auto"/>
          <w:highlight w:val="none"/>
        </w:rPr>
        <w:t>），签字人</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（全名、职务）经正式授权并代表我方</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（投标人名称、地址）提交下述文件正本</w:t>
      </w:r>
      <w:r>
        <w:rPr>
          <w:rFonts w:hint="eastAsia" w:ascii="宋体" w:hAnsi="宋体" w:cs="Arial"/>
          <w:color w:val="auto"/>
          <w:highlight w:val="none"/>
          <w:u w:val="single"/>
        </w:rPr>
        <w:t>1</w:t>
      </w:r>
      <w:r>
        <w:rPr>
          <w:rFonts w:hint="eastAsia" w:asciiTheme="minorEastAsia" w:hAnsiTheme="minorEastAsia" w:eastAsiaTheme="minorEastAsia"/>
          <w:color w:val="auto"/>
          <w:highlight w:val="none"/>
        </w:rPr>
        <w:t>份、副本</w:t>
      </w:r>
      <w:r>
        <w:rPr>
          <w:rFonts w:hint="eastAsia" w:ascii="宋体" w:hAnsi="宋体" w:cs="Arial"/>
          <w:color w:val="auto"/>
          <w:highlight w:val="none"/>
          <w:u w:val="single"/>
        </w:rPr>
        <w:t>4</w:t>
      </w:r>
      <w:r>
        <w:rPr>
          <w:rFonts w:hint="eastAsia" w:asciiTheme="minorEastAsia" w:hAnsiTheme="minorEastAsia" w:eastAsiaTheme="minorEastAsia"/>
          <w:color w:val="auto"/>
          <w:highlight w:val="none"/>
        </w:rPr>
        <w:t>份及电子文件</w:t>
      </w:r>
      <w:r>
        <w:rPr>
          <w:rFonts w:hint="eastAsia" w:ascii="宋体" w:hAnsi="宋体" w:cs="Arial"/>
          <w:color w:val="auto"/>
          <w:highlight w:val="none"/>
          <w:u w:val="single"/>
        </w:rPr>
        <w:t>2</w:t>
      </w:r>
      <w:r>
        <w:rPr>
          <w:rFonts w:hint="eastAsia" w:asciiTheme="minorEastAsia" w:hAnsiTheme="minorEastAsia" w:eastAsiaTheme="minorEastAsia"/>
          <w:color w:val="auto"/>
          <w:highlight w:val="none"/>
        </w:rPr>
        <w:t>份（U盘</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据此，签字人宣布同意如下：</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 按比选文件要求规定的应提交和交付的货物和服务并履行全部合同义务的比选申请总报价为不含增值税人民币（大写）</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元），税率</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 交货期/服务期：按比选文件要求执行。</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 我方将按比选文件的规定履行合同责任和义务。</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4. 我方已详细审查全部比选文件，包括补充文件（如有）以及全部接口资料和有关附件。我们完全理解并同意放弃对这方面有不明及误解的权利。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 本比选有效期为递交比选申请文件的截止之日起90日历天内。</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 如果在规定的开标时间后，我方在比选申请有效期内撤销投标，将赔偿贵方损失。</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 我方同意按照贵方的要求提供与本比选有关的一切数据或资料。</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 如果我方中选，我方将提供金额为合同总价</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的履约担保，作为适当履行合同的担保。</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 如果我方中选，保证按照比选文件规定的工程进度时间表履行交货/服务及有关的义务。</w:t>
      </w: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比选申请人名称：</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 xml:space="preserve"> （全称并加盖公章）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投标人法定代表人（或其委托代理人）签字或盖章：</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地址：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邮编：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电话/手机号码：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电子邮件：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日期：       年   月    日</w:t>
      </w:r>
    </w:p>
    <w:p>
      <w:pPr>
        <w:snapToGrid w:val="0"/>
        <w:spacing w:before="0" w:after="0" w:afterAutospacing="0"/>
        <w:ind w:left="0" w:right="0" w:firstLine="480" w:firstLineChars="200"/>
        <w:rPr>
          <w:rFonts w:hAnsi="宋体"/>
          <w:color w:val="auto"/>
          <w:sz w:val="24"/>
          <w:szCs w:val="24"/>
          <w:highlight w:val="none"/>
        </w:rPr>
      </w:pP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34" w:name="_Toc101965699"/>
      <w:r>
        <w:rPr>
          <w:rFonts w:hint="eastAsia" w:ascii="Times New Roman" w:hAnsi="Times New Roman" w:eastAsia="宋体"/>
          <w:color w:val="auto"/>
          <w:highlight w:val="none"/>
        </w:rPr>
        <w:t>二、比选承诺函</w:t>
      </w:r>
      <w:bookmarkEnd w:id="234"/>
    </w:p>
    <w:p>
      <w:pPr>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致：</w:t>
      </w:r>
      <w:r>
        <w:rPr>
          <w:rFonts w:hint="eastAsia" w:ascii="宋体" w:hAnsi="宋体" w:cs="Arial"/>
          <w:color w:val="auto"/>
          <w:highlight w:val="none"/>
          <w:u w:val="single"/>
        </w:rPr>
        <w:t>南宁轨道交通运营有限公司</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本项目比选</w:t>
      </w:r>
      <w:r>
        <w:rPr>
          <w:rFonts w:ascii="宋体" w:hAnsi="宋体"/>
          <w:color w:val="auto"/>
          <w:highlight w:val="none"/>
        </w:rPr>
        <w:t>文件后，我方经慎重考虑，郑重承诺参加</w:t>
      </w:r>
      <w:r>
        <w:rPr>
          <w:rFonts w:hint="eastAsia" w:ascii="宋体" w:hAnsi="宋体"/>
          <w:color w:val="auto"/>
          <w:highlight w:val="none"/>
        </w:rPr>
        <w:t>项目的比选</w:t>
      </w:r>
      <w:r>
        <w:rPr>
          <w:rFonts w:ascii="宋体" w:hAnsi="宋体"/>
          <w:color w:val="auto"/>
          <w:highlight w:val="none"/>
        </w:rPr>
        <w:t>活动。</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w:t>
      </w:r>
      <w:r>
        <w:rPr>
          <w:rFonts w:ascii="宋体" w:hAnsi="宋体"/>
          <w:color w:val="auto"/>
          <w:highlight w:val="none"/>
        </w:rPr>
        <w:t>文件要求的内容与格式，已编制完成</w:t>
      </w:r>
      <w:r>
        <w:rPr>
          <w:rFonts w:hint="eastAsia" w:ascii="宋体" w:hAnsi="宋体"/>
          <w:color w:val="auto"/>
          <w:highlight w:val="none"/>
        </w:rPr>
        <w:t>比选申请</w:t>
      </w:r>
      <w:r>
        <w:rPr>
          <w:rFonts w:ascii="宋体" w:hAnsi="宋体"/>
          <w:color w:val="auto"/>
          <w:highlight w:val="none"/>
        </w:rPr>
        <w:t>文件，现报上。</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napToGrid w:val="0"/>
        <w:spacing w:before="0" w:after="0" w:afterAutospacing="0" w:line="400" w:lineRule="exact"/>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没有处于被责令停业，或投标资格被住建部、国家安监总局、广西区或南宁市建设行政主管部门取消，或财产被接管、破产状态</w:t>
      </w:r>
      <w:r>
        <w:rPr>
          <w:rFonts w:ascii="宋体" w:hAnsi="宋体"/>
          <w:b/>
          <w:color w:val="auto"/>
          <w:highlight w:val="none"/>
        </w:rPr>
        <w:t>；在</w:t>
      </w:r>
      <w:r>
        <w:rPr>
          <w:rFonts w:hint="eastAsia" w:ascii="宋体" w:hAnsi="宋体"/>
          <w:b/>
          <w:color w:val="auto"/>
          <w:highlight w:val="none"/>
        </w:rPr>
        <w:t>投标截止时间前</w:t>
      </w:r>
      <w:r>
        <w:rPr>
          <w:rFonts w:ascii="宋体" w:hAnsi="宋体"/>
          <w:b/>
          <w:color w:val="auto"/>
          <w:highlight w:val="none"/>
        </w:rPr>
        <w:t>3年内没有骗取中标</w:t>
      </w:r>
      <w:r>
        <w:rPr>
          <w:rFonts w:hint="eastAsia" w:ascii="宋体" w:hAnsi="宋体"/>
          <w:b/>
          <w:color w:val="auto"/>
          <w:highlight w:val="none"/>
        </w:rPr>
        <w:t>、严重违约或重大质量安全责任事故。</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报名、比选申请</w:t>
      </w:r>
      <w:r>
        <w:rPr>
          <w:rFonts w:ascii="宋体" w:hAnsi="宋体"/>
          <w:color w:val="auto"/>
          <w:highlight w:val="none"/>
        </w:rPr>
        <w:t>过程中或者在中</w:t>
      </w:r>
      <w:r>
        <w:rPr>
          <w:rFonts w:hint="eastAsia" w:ascii="宋体" w:hAnsi="宋体"/>
          <w:color w:val="auto"/>
          <w:highlight w:val="none"/>
        </w:rPr>
        <w:t>选</w:t>
      </w:r>
      <w:r>
        <w:rPr>
          <w:rFonts w:ascii="宋体" w:hAnsi="宋体"/>
          <w:color w:val="auto"/>
          <w:highlight w:val="none"/>
        </w:rPr>
        <w:t>后，比选人或者有管辖权的</w:t>
      </w:r>
      <w:r>
        <w:rPr>
          <w:rFonts w:hint="eastAsia" w:ascii="宋体" w:hAnsi="宋体"/>
          <w:color w:val="auto"/>
          <w:highlight w:val="none"/>
        </w:rPr>
        <w:t>招</w:t>
      </w:r>
      <w:r>
        <w:rPr>
          <w:rFonts w:ascii="宋体" w:hAnsi="宋体"/>
          <w:color w:val="auto"/>
          <w:highlight w:val="none"/>
        </w:rPr>
        <w:t>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w:t>
      </w:r>
      <w:r>
        <w:rPr>
          <w:rFonts w:ascii="宋体" w:hAnsi="宋体"/>
          <w:color w:val="auto"/>
          <w:highlight w:val="none"/>
        </w:rPr>
        <w:t>文件的有效组成内容，也是我公司真实意思的表示，对我公司在与该项目有关的任何行为中始终具有优先的法律约束力。</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是否中标</w:t>
      </w:r>
      <w:r>
        <w:rPr>
          <w:rFonts w:ascii="宋体" w:hAnsi="宋体"/>
          <w:color w:val="auto"/>
          <w:highlight w:val="none"/>
        </w:rPr>
        <w:t>，我方将自行承担与</w:t>
      </w:r>
      <w:r>
        <w:rPr>
          <w:rFonts w:hint="eastAsia" w:ascii="宋体" w:hAnsi="宋体"/>
          <w:color w:val="auto"/>
          <w:highlight w:val="none"/>
        </w:rPr>
        <w:t>比选</w:t>
      </w:r>
      <w:r>
        <w:rPr>
          <w:rFonts w:ascii="宋体" w:hAnsi="宋体"/>
          <w:color w:val="auto"/>
          <w:highlight w:val="none"/>
        </w:rPr>
        <w:t>活动所需的一切费用。</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ascii="宋体" w:hAnsi="宋体"/>
          <w:b/>
          <w:color w:val="auto"/>
          <w:highlight w:val="none"/>
        </w:rPr>
      </w:pPr>
      <w:r>
        <w:rPr>
          <w:rFonts w:hint="eastAsia" w:ascii="宋体" w:hAnsi="宋体"/>
          <w:b/>
          <w:color w:val="auto"/>
          <w:highlight w:val="none"/>
        </w:rPr>
        <w:t>8、我单位承诺不存在下述情况：我单位的单位负责人为同一人或者存在控股、管理关系的不同单位未同时参加同一标段比选申请或者未划分标段的同一比选项目比选申请。</w:t>
      </w:r>
    </w:p>
    <w:p>
      <w:pPr>
        <w:snapToGrid w:val="0"/>
        <w:spacing w:before="0" w:after="0" w:afterAutospacing="0" w:line="400" w:lineRule="exact"/>
        <w:ind w:left="0" w:right="0" w:firstLine="422" w:firstLineChars="200"/>
        <w:jc w:val="left"/>
        <w:rPr>
          <w:rFonts w:ascii="宋体" w:hAnsi="宋体"/>
          <w:color w:val="auto"/>
          <w:highlight w:val="none"/>
        </w:rPr>
      </w:pPr>
      <w:r>
        <w:rPr>
          <w:rFonts w:hint="eastAsia" w:ascii="宋体" w:hAnsi="宋体"/>
          <w:b/>
          <w:color w:val="auto"/>
          <w:highlight w:val="none"/>
        </w:rPr>
        <w:t>9、我单位未被列入比选人不良信用名单。</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35" w:name="_Toc101965700"/>
      <w:r>
        <w:rPr>
          <w:rFonts w:hint="eastAsia" w:ascii="Times New Roman" w:hAnsi="Times New Roman" w:eastAsia="宋体"/>
          <w:color w:val="auto"/>
          <w:highlight w:val="none"/>
        </w:rPr>
        <w:t>三、比选申请报价表</w:t>
      </w:r>
      <w:bookmarkEnd w:id="235"/>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3.1比选申请报价一览表</w:t>
      </w:r>
    </w:p>
    <w:p>
      <w:pPr>
        <w:spacing w:before="0" w:after="0" w:afterAutospacing="0"/>
        <w:ind w:left="0" w:right="0" w:firstLine="420" w:firstLineChars="200"/>
        <w:rPr>
          <w:rFonts w:hAnsi="宋体"/>
          <w:color w:val="auto"/>
          <w:highlight w:val="none"/>
        </w:rPr>
      </w:pPr>
    </w:p>
    <w:tbl>
      <w:tblPr>
        <w:tblStyle w:val="26"/>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u w:val="single"/>
              </w:rPr>
            </w:pPr>
            <w:r>
              <w:rPr>
                <w:rFonts w:hint="eastAsia" w:ascii="宋体" w:hAnsi="宋体"/>
                <w:b/>
                <w:bCs/>
                <w:color w:val="auto"/>
                <w:kern w:val="2"/>
                <w:highlight w:val="none"/>
              </w:rPr>
              <w:t>比选申请报价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trPr>
        <w:tc>
          <w:tcPr>
            <w:tcW w:w="2446" w:type="dxa"/>
            <w:vMerge w:val="restart"/>
            <w:vAlign w:val="center"/>
          </w:tcPr>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比选申请总报价</w:t>
            </w:r>
          </w:p>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(不含增值税)</w:t>
            </w:r>
          </w:p>
        </w:tc>
        <w:tc>
          <w:tcPr>
            <w:tcW w:w="5131" w:type="dxa"/>
            <w:tcBorders>
              <w:bottom w:val="single" w:color="auto" w:sz="4" w:space="0"/>
            </w:tcBorders>
            <w:vAlign w:val="center"/>
          </w:tcPr>
          <w:p>
            <w:pPr>
              <w:widowControl w:val="0"/>
              <w:snapToGrid w:val="0"/>
              <w:spacing w:before="0" w:after="0"/>
              <w:ind w:right="-57" w:rightChars="-27"/>
              <w:jc w:val="left"/>
              <w:rPr>
                <w:rFonts w:ascii="宋体" w:hAnsi="宋体"/>
                <w:b/>
                <w:color w:val="auto"/>
                <w:kern w:val="2"/>
                <w:highlight w:val="none"/>
              </w:rPr>
            </w:pPr>
            <w:r>
              <w:rPr>
                <w:rFonts w:hint="eastAsia" w:ascii="宋体" w:hAnsi="宋体"/>
                <w:b/>
                <w:color w:val="auto"/>
                <w:kern w:val="2"/>
                <w:highlight w:val="none"/>
              </w:rPr>
              <w:t>小写：</w:t>
            </w:r>
          </w:p>
        </w:tc>
        <w:tc>
          <w:tcPr>
            <w:tcW w:w="1178" w:type="dxa"/>
            <w:vMerge w:val="restart"/>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2"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color w:val="auto"/>
                <w:kern w:val="2"/>
                <w:highlight w:val="none"/>
              </w:rPr>
            </w:pPr>
          </w:p>
        </w:tc>
        <w:tc>
          <w:tcPr>
            <w:tcW w:w="5131" w:type="dxa"/>
            <w:tcBorders>
              <w:top w:val="single" w:color="auto" w:sz="4" w:space="0"/>
            </w:tcBorders>
            <w:vAlign w:val="center"/>
          </w:tcPr>
          <w:p>
            <w:pPr>
              <w:widowControl w:val="0"/>
              <w:snapToGrid w:val="0"/>
              <w:spacing w:before="0" w:after="0"/>
              <w:ind w:left="0" w:right="-57" w:rightChars="-27" w:firstLine="0"/>
              <w:jc w:val="left"/>
              <w:rPr>
                <w:rFonts w:ascii="宋体" w:hAnsi="宋体"/>
                <w:b/>
                <w:color w:val="auto"/>
                <w:kern w:val="2"/>
                <w:highlight w:val="none"/>
              </w:rPr>
            </w:pPr>
            <w:r>
              <w:rPr>
                <w:rFonts w:hint="eastAsia" w:ascii="宋体" w:hAnsi="宋体"/>
                <w:b/>
                <w:color w:val="auto"/>
                <w:kern w:val="2"/>
                <w:highlight w:val="none"/>
              </w:rPr>
              <w:t xml:space="preserve">大写： </w:t>
            </w:r>
          </w:p>
        </w:tc>
        <w:tc>
          <w:tcPr>
            <w:tcW w:w="1178" w:type="dxa"/>
            <w:vMerge w:val="continue"/>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税率</w:t>
            </w:r>
          </w:p>
        </w:tc>
        <w:tc>
          <w:tcPr>
            <w:tcW w:w="6309" w:type="dxa"/>
            <w:gridSpan w:val="2"/>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交货期</w:t>
            </w:r>
          </w:p>
        </w:tc>
        <w:tc>
          <w:tcPr>
            <w:tcW w:w="6309" w:type="dxa"/>
            <w:gridSpan w:val="2"/>
            <w:vAlign w:val="center"/>
          </w:tcPr>
          <w:p>
            <w:pPr>
              <w:widowControl w:val="0"/>
              <w:snapToGrid w:val="0"/>
              <w:spacing w:before="0" w:after="0" w:afterAutospacing="0"/>
              <w:ind w:right="-57" w:rightChars="-27"/>
              <w:rPr>
                <w:rFonts w:ascii="宋体" w:hAnsi="宋体"/>
                <w:b/>
                <w:color w:val="auto"/>
                <w:kern w:val="2"/>
                <w:highlight w:val="none"/>
              </w:rPr>
            </w:pPr>
          </w:p>
        </w:tc>
      </w:tr>
    </w:tbl>
    <w:p>
      <w:pPr>
        <w:spacing w:before="0" w:after="0" w:afterAutospacing="0"/>
        <w:ind w:left="0" w:right="0" w:firstLine="420" w:firstLineChars="200"/>
        <w:rPr>
          <w:rFonts w:hAnsi="宋体"/>
          <w:color w:val="auto"/>
          <w:highlight w:val="none"/>
        </w:rPr>
      </w:pPr>
    </w:p>
    <w:p>
      <w:pPr>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校准报告检测费、质量保证期服务、培训、人工工资、管理费、利润、保险等一切履行合同标的全过程产生的除增值税外所有费用。</w:t>
      </w:r>
    </w:p>
    <w:p>
      <w:pPr>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3.2比选申请报价明细表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单位：元</w:t>
      </w:r>
    </w:p>
    <w:tbl>
      <w:tblPr>
        <w:tblStyle w:val="26"/>
        <w:tblW w:w="7974" w:type="dxa"/>
        <w:jc w:val="center"/>
        <w:tblLayout w:type="fixed"/>
        <w:tblCellMar>
          <w:top w:w="0" w:type="dxa"/>
          <w:left w:w="108" w:type="dxa"/>
          <w:bottom w:w="0" w:type="dxa"/>
          <w:right w:w="108" w:type="dxa"/>
        </w:tblCellMar>
      </w:tblPr>
      <w:tblGrid>
        <w:gridCol w:w="920"/>
        <w:gridCol w:w="930"/>
        <w:gridCol w:w="990"/>
        <w:gridCol w:w="1155"/>
        <w:gridCol w:w="1050"/>
        <w:gridCol w:w="570"/>
        <w:gridCol w:w="630"/>
        <w:gridCol w:w="780"/>
        <w:gridCol w:w="949"/>
      </w:tblGrid>
      <w:tr>
        <w:tblPrEx>
          <w:tblCellMar>
            <w:top w:w="0" w:type="dxa"/>
            <w:left w:w="108" w:type="dxa"/>
            <w:bottom w:w="0" w:type="dxa"/>
            <w:right w:w="108" w:type="dxa"/>
          </w:tblCellMar>
        </w:tblPrEx>
        <w:trPr>
          <w:trHeight w:val="283" w:hRule="atLeast"/>
          <w:jc w:val="center"/>
        </w:trPr>
        <w:tc>
          <w:tcPr>
            <w:tcW w:w="920" w:type="dxa"/>
            <w:vMerge w:val="restart"/>
            <w:tcBorders>
              <w:top w:val="single" w:color="auto" w:sz="12" w:space="0"/>
              <w:left w:val="single" w:color="auto" w:sz="12" w:space="0"/>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序号</w:t>
            </w:r>
          </w:p>
        </w:tc>
        <w:tc>
          <w:tcPr>
            <w:tcW w:w="930" w:type="dxa"/>
            <w:vMerge w:val="restart"/>
            <w:tcBorders>
              <w:top w:val="single" w:color="auto" w:sz="12" w:space="0"/>
              <w:left w:val="nil"/>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货物名称</w:t>
            </w:r>
          </w:p>
        </w:tc>
        <w:tc>
          <w:tcPr>
            <w:tcW w:w="990" w:type="dxa"/>
            <w:vMerge w:val="restart"/>
            <w:tcBorders>
              <w:top w:val="single" w:color="auto" w:sz="12" w:space="0"/>
              <w:left w:val="nil"/>
              <w:right w:val="single" w:color="auto" w:sz="4" w:space="0"/>
            </w:tcBorders>
            <w:vAlign w:val="center"/>
          </w:tcPr>
          <w:p>
            <w:pPr>
              <w:ind w:left="0" w:firstLine="0"/>
              <w:jc w:val="center"/>
              <w:rPr>
                <w:rFonts w:ascii="宋体" w:hAnsi="宋体"/>
                <w:color w:val="auto"/>
                <w:sz w:val="15"/>
                <w:szCs w:val="15"/>
                <w:highlight w:val="none"/>
              </w:rPr>
            </w:pPr>
            <w:r>
              <w:rPr>
                <w:rFonts w:hint="eastAsia" w:ascii="宋体" w:hAnsi="宋体"/>
                <w:color w:val="auto"/>
                <w:sz w:val="15"/>
                <w:szCs w:val="15"/>
                <w:highlight w:val="none"/>
              </w:rPr>
              <w:t>技术参数</w:t>
            </w:r>
          </w:p>
        </w:tc>
        <w:tc>
          <w:tcPr>
            <w:tcW w:w="2205" w:type="dxa"/>
            <w:gridSpan w:val="2"/>
            <w:tcBorders>
              <w:top w:val="single" w:color="auto" w:sz="12"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5"/>
                <w:szCs w:val="15"/>
                <w:highlight w:val="none"/>
              </w:rPr>
            </w:pPr>
            <w:r>
              <w:rPr>
                <w:rFonts w:hint="eastAsia" w:ascii="宋体" w:hAnsi="宋体"/>
                <w:color w:val="auto"/>
                <w:sz w:val="15"/>
                <w:szCs w:val="15"/>
                <w:highlight w:val="none"/>
              </w:rPr>
              <w:t>品牌及型号</w:t>
            </w:r>
          </w:p>
        </w:tc>
        <w:tc>
          <w:tcPr>
            <w:tcW w:w="570" w:type="dxa"/>
            <w:vMerge w:val="restart"/>
            <w:tcBorders>
              <w:top w:val="single" w:color="auto" w:sz="12" w:space="0"/>
              <w:left w:val="single" w:color="auto" w:sz="4" w:space="0"/>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单位</w:t>
            </w:r>
          </w:p>
        </w:tc>
        <w:tc>
          <w:tcPr>
            <w:tcW w:w="630" w:type="dxa"/>
            <w:vMerge w:val="restart"/>
            <w:tcBorders>
              <w:top w:val="single" w:color="auto" w:sz="12" w:space="0"/>
              <w:left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总数量</w:t>
            </w:r>
            <w:r>
              <w:rPr>
                <w:rFonts w:ascii="宋体" w:hAnsi="宋体"/>
                <w:color w:val="auto"/>
                <w:sz w:val="15"/>
                <w:szCs w:val="15"/>
                <w:highlight w:val="none"/>
              </w:rPr>
              <w:t>①</w:t>
            </w:r>
          </w:p>
        </w:tc>
        <w:tc>
          <w:tcPr>
            <w:tcW w:w="780" w:type="dxa"/>
            <w:vMerge w:val="restart"/>
            <w:tcBorders>
              <w:top w:val="single" w:color="auto" w:sz="12" w:space="0"/>
              <w:left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不含税单价</w:t>
            </w:r>
            <w:r>
              <w:rPr>
                <w:rFonts w:ascii="宋体" w:hAnsi="宋体"/>
                <w:color w:val="auto"/>
                <w:sz w:val="15"/>
                <w:szCs w:val="15"/>
                <w:highlight w:val="none"/>
              </w:rPr>
              <w:t>(元)②</w:t>
            </w:r>
          </w:p>
        </w:tc>
        <w:tc>
          <w:tcPr>
            <w:tcW w:w="949" w:type="dxa"/>
            <w:vMerge w:val="restart"/>
            <w:tcBorders>
              <w:top w:val="single" w:color="auto" w:sz="12" w:space="0"/>
              <w:left w:val="nil"/>
              <w:right w:val="single" w:color="auto" w:sz="12"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不含税合价</w:t>
            </w:r>
            <w:r>
              <w:rPr>
                <w:rFonts w:ascii="宋体" w:hAnsi="宋体"/>
                <w:color w:val="auto"/>
                <w:sz w:val="15"/>
                <w:szCs w:val="15"/>
                <w:highlight w:val="none"/>
              </w:rPr>
              <w:t>(元)③=①×②</w:t>
            </w:r>
          </w:p>
        </w:tc>
      </w:tr>
      <w:tr>
        <w:tblPrEx>
          <w:tblCellMar>
            <w:top w:w="0" w:type="dxa"/>
            <w:left w:w="108" w:type="dxa"/>
            <w:bottom w:w="0" w:type="dxa"/>
            <w:right w:w="108" w:type="dxa"/>
          </w:tblCellMar>
        </w:tblPrEx>
        <w:trPr>
          <w:trHeight w:val="283" w:hRule="atLeast"/>
          <w:jc w:val="center"/>
        </w:trPr>
        <w:tc>
          <w:tcPr>
            <w:tcW w:w="920" w:type="dxa"/>
            <w:vMerge w:val="continue"/>
            <w:tcBorders>
              <w:left w:val="single" w:color="auto" w:sz="12"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930" w:type="dxa"/>
            <w:vMerge w:val="continue"/>
            <w:tcBorders>
              <w:left w:val="nil"/>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990" w:type="dxa"/>
            <w:vMerge w:val="continue"/>
            <w:tcBorders>
              <w:left w:val="nil"/>
              <w:bottom w:val="single" w:color="auto" w:sz="4" w:space="0"/>
              <w:right w:val="single" w:color="auto" w:sz="4" w:space="0"/>
            </w:tcBorders>
          </w:tcPr>
          <w:p>
            <w:pPr>
              <w:ind w:left="0" w:firstLine="0"/>
              <w:rPr>
                <w:rFonts w:ascii="宋体" w:hAnsi="宋体"/>
                <w:color w:val="auto"/>
                <w:sz w:val="15"/>
                <w:szCs w:val="15"/>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参考品牌及型号</w:t>
            </w:r>
          </w:p>
        </w:tc>
        <w:tc>
          <w:tcPr>
            <w:tcW w:w="105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报价品牌及型号</w:t>
            </w:r>
          </w:p>
        </w:tc>
        <w:tc>
          <w:tcPr>
            <w:tcW w:w="570" w:type="dxa"/>
            <w:vMerge w:val="continue"/>
            <w:tcBorders>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630" w:type="dxa"/>
            <w:vMerge w:val="continue"/>
            <w:tcBorders>
              <w:left w:val="single" w:color="auto" w:sz="4" w:space="0"/>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p>
        </w:tc>
        <w:tc>
          <w:tcPr>
            <w:tcW w:w="780" w:type="dxa"/>
            <w:vMerge w:val="continue"/>
            <w:tcBorders>
              <w:left w:val="single" w:color="auto" w:sz="4" w:space="0"/>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p>
        </w:tc>
        <w:tc>
          <w:tcPr>
            <w:tcW w:w="949" w:type="dxa"/>
            <w:vMerge w:val="continue"/>
            <w:tcBorders>
              <w:left w:val="nil"/>
              <w:bottom w:val="single" w:color="auto" w:sz="4" w:space="0"/>
              <w:right w:val="single" w:color="auto" w:sz="12" w:space="0"/>
            </w:tcBorders>
            <w:vAlign w:val="center"/>
          </w:tcPr>
          <w:p>
            <w:pPr>
              <w:spacing w:line="240" w:lineRule="auto"/>
              <w:ind w:left="0" w:firstLine="0"/>
              <w:rPr>
                <w:rFonts w:ascii="宋体" w:hAnsi="宋体"/>
                <w:color w:val="auto"/>
                <w:sz w:val="15"/>
                <w:szCs w:val="15"/>
                <w:highlight w:val="none"/>
              </w:rPr>
            </w:pPr>
          </w:p>
        </w:tc>
      </w:tr>
      <w:tr>
        <w:trPr>
          <w:trHeight w:val="227" w:hRule="atLeast"/>
          <w:jc w:val="center"/>
        </w:trPr>
        <w:tc>
          <w:tcPr>
            <w:tcW w:w="920" w:type="dxa"/>
            <w:tcBorders>
              <w:top w:val="single" w:color="auto" w:sz="4" w:space="0"/>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1</w:t>
            </w:r>
          </w:p>
        </w:tc>
        <w:tc>
          <w:tcPr>
            <w:tcW w:w="93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c>
          <w:tcPr>
            <w:tcW w:w="990"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949" w:type="dxa"/>
            <w:tcBorders>
              <w:top w:val="single" w:color="auto" w:sz="4" w:space="0"/>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27" w:hRule="atLeast"/>
          <w:jc w:val="center"/>
        </w:trPr>
        <w:tc>
          <w:tcPr>
            <w:tcW w:w="920" w:type="dxa"/>
            <w:tcBorders>
              <w:top w:val="nil"/>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2</w:t>
            </w:r>
          </w:p>
        </w:tc>
        <w:tc>
          <w:tcPr>
            <w:tcW w:w="93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0"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115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05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7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78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949" w:type="dxa"/>
            <w:tcBorders>
              <w:top w:val="nil"/>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27" w:hRule="atLeast"/>
          <w:jc w:val="center"/>
        </w:trPr>
        <w:tc>
          <w:tcPr>
            <w:tcW w:w="920" w:type="dxa"/>
            <w:tcBorders>
              <w:top w:val="nil"/>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3</w:t>
            </w:r>
          </w:p>
        </w:tc>
        <w:tc>
          <w:tcPr>
            <w:tcW w:w="93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0"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115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05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7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78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949" w:type="dxa"/>
            <w:tcBorders>
              <w:top w:val="nil"/>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27" w:hRule="atLeast"/>
          <w:jc w:val="center"/>
        </w:trPr>
        <w:tc>
          <w:tcPr>
            <w:tcW w:w="920" w:type="dxa"/>
            <w:tcBorders>
              <w:top w:val="nil"/>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p>
        </w:tc>
        <w:tc>
          <w:tcPr>
            <w:tcW w:w="93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0"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115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05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7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78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949" w:type="dxa"/>
            <w:tcBorders>
              <w:top w:val="nil"/>
              <w:left w:val="nil"/>
              <w:bottom w:val="single" w:color="auto" w:sz="4" w:space="0"/>
              <w:right w:val="single" w:color="auto" w:sz="12" w:space="0"/>
            </w:tcBorders>
            <w:vAlign w:val="center"/>
          </w:tcPr>
          <w:p>
            <w:pPr>
              <w:ind w:left="0" w:firstLine="0"/>
              <w:rPr>
                <w:rFonts w:ascii="宋体" w:hAnsi="宋体"/>
                <w:color w:val="auto"/>
                <w:highlight w:val="none"/>
              </w:rPr>
            </w:pPr>
          </w:p>
        </w:tc>
      </w:tr>
      <w:tr>
        <w:trPr>
          <w:trHeight w:val="227" w:hRule="atLeast"/>
          <w:jc w:val="center"/>
        </w:trPr>
        <w:tc>
          <w:tcPr>
            <w:tcW w:w="5615" w:type="dxa"/>
            <w:gridSpan w:val="6"/>
            <w:tcBorders>
              <w:top w:val="single" w:color="auto" w:sz="4" w:space="0"/>
              <w:left w:val="single" w:color="auto" w:sz="12" w:space="0"/>
              <w:bottom w:val="single" w:color="auto" w:sz="12"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合计</w:t>
            </w:r>
          </w:p>
        </w:tc>
        <w:tc>
          <w:tcPr>
            <w:tcW w:w="630"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color w:val="auto"/>
                <w:highlight w:val="none"/>
              </w:rPr>
            </w:pPr>
          </w:p>
        </w:tc>
        <w:tc>
          <w:tcPr>
            <w:tcW w:w="780"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949" w:type="dxa"/>
            <w:tcBorders>
              <w:top w:val="single" w:color="auto" w:sz="4" w:space="0"/>
              <w:left w:val="nil"/>
              <w:bottom w:val="single" w:color="auto" w:sz="12" w:space="0"/>
              <w:right w:val="single" w:color="auto" w:sz="12" w:space="0"/>
            </w:tcBorders>
            <w:vAlign w:val="center"/>
          </w:tcPr>
          <w:p>
            <w:pPr>
              <w:ind w:left="0" w:firstLine="0"/>
              <w:jc w:val="center"/>
              <w:rPr>
                <w:rFonts w:ascii="宋体" w:hAnsi="宋体"/>
                <w:color w:val="auto"/>
                <w:highlight w:val="none"/>
              </w:rPr>
            </w:pPr>
          </w:p>
        </w:tc>
      </w:tr>
    </w:tbl>
    <w:p>
      <w:pPr>
        <w:snapToGrid w:val="0"/>
        <w:spacing w:before="0" w:after="0" w:afterAutospacing="0" w:line="240" w:lineRule="auto"/>
        <w:ind w:left="0" w:right="0" w:firstLine="424" w:firstLineChars="202"/>
        <w:rPr>
          <w:rFonts w:ascii="宋体" w:hAnsi="宋体"/>
          <w:color w:val="auto"/>
          <w:highlight w:val="none"/>
        </w:rPr>
      </w:pPr>
    </w:p>
    <w:p>
      <w:pPr>
        <w:snapToGrid w:val="0"/>
        <w:spacing w:before="0" w:after="0" w:afterAutospacing="0" w:line="320" w:lineRule="exact"/>
        <w:ind w:left="0" w:right="0" w:firstLine="424" w:firstLineChars="202"/>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比选申请人须按《用户需求书》中的技术需求及数量表的顺序进行明细报价，不允许打乱顺序，不含税单价、不含税合价均精确到小数点后两位。</w:t>
      </w:r>
    </w:p>
    <w:p>
      <w:pPr>
        <w:snapToGrid w:val="0"/>
        <w:spacing w:before="0" w:after="0" w:afterAutospacing="0" w:line="320" w:lineRule="exact"/>
        <w:ind w:left="0" w:right="0" w:firstLine="424" w:firstLineChars="202"/>
        <w:rPr>
          <w:rFonts w:ascii="宋体" w:hAnsi="宋体"/>
          <w:color w:val="auto"/>
          <w:highlight w:val="none"/>
        </w:rPr>
      </w:pPr>
      <w:r>
        <w:rPr>
          <w:rFonts w:hint="eastAsia" w:ascii="宋体" w:hAnsi="宋体"/>
          <w:color w:val="auto"/>
          <w:highlight w:val="none"/>
        </w:rPr>
        <w:t>2、同一规格、型号的货物、材料在各分项报价中应为同一单价。比选申请人对每种货物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before="0" w:after="0" w:afterAutospacing="0" w:line="320" w:lineRule="exact"/>
        <w:ind w:left="0" w:right="0" w:firstLine="426" w:firstLineChars="202"/>
        <w:rPr>
          <w:rFonts w:ascii="宋体" w:hAnsi="宋体"/>
          <w:b/>
          <w:bCs/>
          <w:color w:val="auto"/>
          <w:highlight w:val="none"/>
        </w:rPr>
      </w:pPr>
      <w:r>
        <w:rPr>
          <w:rFonts w:hint="eastAsia" w:ascii="宋体" w:hAnsi="宋体"/>
          <w:b/>
          <w:bCs/>
          <w:color w:val="auto"/>
          <w:highlight w:val="none"/>
        </w:rPr>
        <w:t>3、若拟采货物未列“参考品牌及型号”，比选申请人也应填报“报价品牌及型号” ，否则将作无效报价处理。</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36" w:name="_Toc101965701"/>
      <w:r>
        <w:rPr>
          <w:rFonts w:hint="eastAsia" w:ascii="Times New Roman" w:hAnsi="Times New Roman" w:eastAsia="宋体"/>
          <w:color w:val="auto"/>
          <w:highlight w:val="none"/>
        </w:rPr>
        <w:t>四、法定代表人身份证明及授权书</w:t>
      </w:r>
      <w:bookmarkEnd w:id="236"/>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4.1法定代表人身份证明</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rPr>
        <w:t>：</w:t>
      </w:r>
      <w:r>
        <w:rPr>
          <w:rFonts w:hint="eastAsia" w:ascii="宋体" w:hAnsi="宋体"/>
          <w:color w:val="auto"/>
          <w:highlight w:val="none"/>
          <w:u w:val="single"/>
        </w:rPr>
        <w:t>（填写）</w:t>
      </w:r>
      <w:r>
        <w:rPr>
          <w:rFonts w:ascii="宋体" w:hAnsi="宋体"/>
          <w:color w:val="auto"/>
          <w:highlight w:val="none"/>
        </w:rPr>
        <w:t>性别：</w:t>
      </w:r>
      <w:r>
        <w:rPr>
          <w:rFonts w:hint="eastAsia" w:ascii="宋体" w:hAnsi="宋体"/>
          <w:color w:val="auto"/>
          <w:highlight w:val="none"/>
          <w:u w:val="single"/>
        </w:rPr>
        <w:t>（填写）</w:t>
      </w:r>
      <w:r>
        <w:rPr>
          <w:rFonts w:ascii="宋体" w:hAnsi="宋体"/>
          <w:color w:val="auto"/>
          <w:highlight w:val="none"/>
        </w:rPr>
        <w:t>年龄：</w:t>
      </w:r>
      <w:r>
        <w:rPr>
          <w:rFonts w:hint="eastAsia" w:ascii="宋体" w:hAnsi="宋体"/>
          <w:color w:val="auto"/>
          <w:highlight w:val="none"/>
          <w:u w:val="single"/>
        </w:rPr>
        <w:t>（填写）</w:t>
      </w:r>
      <w:r>
        <w:rPr>
          <w:rFonts w:ascii="宋体" w:hAnsi="宋体"/>
          <w:color w:val="auto"/>
          <w:highlight w:val="none"/>
        </w:rPr>
        <w:t>职务：</w:t>
      </w:r>
      <w:r>
        <w:rPr>
          <w:rFonts w:hint="eastAsia" w:ascii="宋体" w:hAnsi="宋体"/>
          <w:color w:val="auto"/>
          <w:highlight w:val="none"/>
          <w:u w:val="single"/>
        </w:rPr>
        <w:t>（填写）</w:t>
      </w:r>
    </w:p>
    <w:p>
      <w:pPr>
        <w:ind w:right="0" w:firstLine="200"/>
        <w:rPr>
          <w:rFonts w:ascii="宋体" w:hAnsi="宋体"/>
          <w:color w:val="auto"/>
          <w:highlight w:val="none"/>
        </w:rPr>
      </w:pPr>
      <w:r>
        <w:rPr>
          <w:rFonts w:ascii="宋体" w:hAnsi="宋体"/>
          <w:color w:val="auto"/>
          <w:highlight w:val="none"/>
        </w:rPr>
        <w:t>系</w:t>
      </w:r>
      <w:r>
        <w:rPr>
          <w:rFonts w:hint="eastAsia" w:ascii="宋体" w:hAnsi="宋体"/>
          <w:color w:val="auto"/>
          <w:highlight w:val="none"/>
          <w:u w:val="single"/>
        </w:rPr>
        <w:t xml:space="preserve">   （填写）       </w:t>
      </w:r>
      <w:r>
        <w:rPr>
          <w:rFonts w:hint="eastAsia" w:ascii="宋体" w:hAnsi="宋体"/>
          <w:color w:val="auto"/>
          <w:highlight w:val="none"/>
        </w:rPr>
        <w:t xml:space="preserve"> </w:t>
      </w:r>
      <w:r>
        <w:rPr>
          <w:rFonts w:ascii="宋体" w:hAnsi="宋体"/>
          <w:color w:val="auto"/>
          <w:highlight w:val="none"/>
        </w:rPr>
        <w:t>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投标人：</w:t>
      </w:r>
      <w:r>
        <w:rPr>
          <w:rFonts w:hint="eastAsia" w:ascii="宋体" w:hAnsi="宋体"/>
          <w:color w:val="auto"/>
          <w:highlight w:val="none"/>
          <w:u w:val="single"/>
        </w:rPr>
        <w:t>（填写）</w:t>
      </w:r>
      <w:r>
        <w:rPr>
          <w:rFonts w:ascii="宋体" w:hAnsi="宋体"/>
          <w:color w:val="auto"/>
          <w:highlight w:val="none"/>
        </w:rPr>
        <w:t>（盖章）</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rPr>
        <w:t xml:space="preserve">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ind w:right="0" w:firstLine="135"/>
        <w:rPr>
          <w:rFonts w:ascii="宋体" w:hAnsi="宋体"/>
          <w:b/>
          <w:color w:val="auto"/>
          <w:highlight w:val="none"/>
        </w:rPr>
      </w:pPr>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法定代表人身份证复印件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 xml:space="preserve">  </w:t>
      </w: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4.2法定代表人授权书</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w:t>
      </w:r>
      <w:r>
        <w:rPr>
          <w:rFonts w:hint="eastAsia" w:ascii="宋体" w:hAnsi="宋体"/>
          <w:b/>
          <w:color w:val="auto"/>
          <w:sz w:val="32"/>
          <w:szCs w:val="32"/>
          <w:highlight w:val="none"/>
        </w:rPr>
        <w:t>授权</w:t>
      </w:r>
      <w:r>
        <w:rPr>
          <w:rFonts w:ascii="宋体" w:hAnsi="宋体"/>
          <w:b/>
          <w:color w:val="auto"/>
          <w:sz w:val="32"/>
          <w:szCs w:val="32"/>
          <w:highlight w:val="none"/>
        </w:rPr>
        <w:t>书</w:t>
      </w:r>
    </w:p>
    <w:p>
      <w:pPr>
        <w:spacing w:before="0" w:after="0" w:afterAutospacing="0"/>
        <w:ind w:left="0" w:right="0" w:firstLine="420" w:firstLineChars="200"/>
        <w:rPr>
          <w:rFonts w:hAnsi="宋体"/>
          <w:color w:val="auto"/>
          <w:highlight w:val="none"/>
        </w:rPr>
      </w:pP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s="Arial"/>
          <w:color w:val="auto"/>
          <w:highlight w:val="none"/>
          <w:u w:val="single"/>
        </w:rPr>
        <w:t>（比选人名称）</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w:t>
      </w:r>
      <w:r>
        <w:rPr>
          <w:rFonts w:hint="eastAsia" w:ascii="宋体" w:hAnsi="宋体"/>
          <w:color w:val="auto"/>
          <w:highlight w:val="none"/>
          <w:u w:val="single"/>
        </w:rPr>
        <w:t>比选申请</w:t>
      </w:r>
      <w:r>
        <w:rPr>
          <w:rFonts w:ascii="宋体" w:hAnsi="宋体"/>
          <w:color w:val="auto"/>
          <w:highlight w:val="none"/>
          <w:u w:val="single"/>
        </w:rPr>
        <w:t>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为本公司的合法代理人，就招标编号为</w:t>
      </w:r>
      <w:r>
        <w:rPr>
          <w:rFonts w:hint="eastAsia" w:ascii="宋体" w:hAnsi="宋体"/>
          <w:color w:val="auto"/>
          <w:highlight w:val="none"/>
          <w:u w:val="single"/>
        </w:rPr>
        <w:t>（填写）</w:t>
      </w:r>
      <w:r>
        <w:rPr>
          <w:rFonts w:ascii="宋体" w:hAnsi="宋体"/>
          <w:color w:val="auto"/>
          <w:highlight w:val="none"/>
        </w:rPr>
        <w:t>的</w:t>
      </w:r>
      <w:r>
        <w:rPr>
          <w:rFonts w:hint="eastAsia" w:ascii="宋体" w:hAnsi="宋体"/>
          <w:color w:val="auto"/>
          <w:highlight w:val="none"/>
          <w:u w:val="single"/>
        </w:rPr>
        <w:t>（填写）</w:t>
      </w:r>
      <w:r>
        <w:rPr>
          <w:rFonts w:ascii="宋体" w:hAnsi="宋体"/>
          <w:color w:val="auto"/>
          <w:highlight w:val="none"/>
        </w:rPr>
        <w:t>项目的</w:t>
      </w:r>
      <w:r>
        <w:rPr>
          <w:rFonts w:hint="eastAsia" w:ascii="宋体" w:hAnsi="宋体"/>
          <w:color w:val="auto"/>
          <w:highlight w:val="none"/>
        </w:rPr>
        <w:t>比选申请</w:t>
      </w:r>
      <w:r>
        <w:rPr>
          <w:rFonts w:ascii="宋体" w:hAnsi="宋体"/>
          <w:color w:val="auto"/>
          <w:highlight w:val="none"/>
        </w:rPr>
        <w:t>和合同执行，作为</w:t>
      </w:r>
      <w:r>
        <w:rPr>
          <w:rFonts w:hint="eastAsia" w:ascii="宋体" w:hAnsi="宋体"/>
          <w:color w:val="auto"/>
          <w:highlight w:val="none"/>
        </w:rPr>
        <w:t>比选申请</w:t>
      </w:r>
      <w:r>
        <w:rPr>
          <w:rFonts w:ascii="宋体" w:hAnsi="宋体"/>
          <w:color w:val="auto"/>
          <w:highlight w:val="none"/>
        </w:rPr>
        <w:t>人代表以本公司的名义处理一切与之有关的事宜。</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（填写）</w:t>
      </w:r>
      <w:r>
        <w:rPr>
          <w:rFonts w:ascii="宋体" w:hAnsi="宋体"/>
          <w:color w:val="auto"/>
          <w:highlight w:val="none"/>
        </w:rPr>
        <w:t>年</w:t>
      </w:r>
      <w:r>
        <w:rPr>
          <w:rFonts w:hint="eastAsia" w:ascii="宋体" w:hAnsi="宋体"/>
          <w:color w:val="auto"/>
          <w:highlight w:val="none"/>
          <w:u w:val="single"/>
        </w:rPr>
        <w:t>（填写）</w:t>
      </w:r>
      <w:r>
        <w:rPr>
          <w:rFonts w:ascii="宋体" w:hAnsi="宋体"/>
          <w:color w:val="auto"/>
          <w:highlight w:val="none"/>
        </w:rPr>
        <w:t>月</w:t>
      </w:r>
      <w:r>
        <w:rPr>
          <w:rFonts w:hint="eastAsia" w:ascii="宋体" w:hAnsi="宋体"/>
          <w:color w:val="auto"/>
          <w:highlight w:val="none"/>
          <w:u w:val="single"/>
        </w:rPr>
        <w:t>（填写）</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tabs>
          <w:tab w:val="left" w:pos="8364"/>
        </w:tabs>
        <w:snapToGrid w:val="0"/>
        <w:spacing w:line="300" w:lineRule="exact"/>
        <w:ind w:right="0" w:firstLine="198"/>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hint="eastAsia" w:ascii="宋体" w:hAnsi="宋体"/>
          <w:color w:val="auto"/>
          <w:highlight w:val="none"/>
        </w:rPr>
        <w:t>比选申请</w:t>
      </w:r>
      <w:r>
        <w:rPr>
          <w:rFonts w:ascii="宋体" w:hAnsi="宋体"/>
          <w:color w:val="auto"/>
          <w:highlight w:val="none"/>
        </w:rPr>
        <w:t>人代表（被授权人）签字或盖章：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37" w:name="_Toc101965702"/>
      <w:r>
        <w:rPr>
          <w:rFonts w:hint="eastAsia" w:ascii="Times New Roman" w:hAnsi="Times New Roman" w:eastAsia="宋体"/>
          <w:color w:val="auto"/>
          <w:highlight w:val="none"/>
        </w:rPr>
        <w:t>五、企业证照</w:t>
      </w:r>
      <w:bookmarkEnd w:id="237"/>
    </w:p>
    <w:p>
      <w:pPr>
        <w:spacing w:before="0" w:after="0" w:afterAutospacing="0"/>
        <w:ind w:left="0" w:right="0" w:firstLine="420" w:firstLineChars="200"/>
        <w:rPr>
          <w:rFonts w:hAnsi="宋体"/>
          <w:color w:val="auto"/>
          <w:highlight w:val="none"/>
        </w:rPr>
      </w:pPr>
    </w:p>
    <w:p>
      <w:pPr>
        <w:snapToGrid w:val="0"/>
        <w:spacing w:before="0" w:after="0" w:afterAutospacing="0"/>
        <w:ind w:right="0" w:firstLine="0"/>
        <w:jc w:val="left"/>
        <w:rPr>
          <w:rFonts w:ascii="宋体" w:hAnsi="宋体"/>
          <w:b/>
          <w:color w:val="auto"/>
          <w:sz w:val="24"/>
          <w:szCs w:val="24"/>
          <w:highlight w:val="none"/>
        </w:rPr>
      </w:pPr>
      <w:r>
        <w:rPr>
          <w:rFonts w:hint="eastAsia" w:ascii="宋体" w:hAnsi="宋体"/>
          <w:b/>
          <w:color w:val="auto"/>
          <w:sz w:val="24"/>
          <w:szCs w:val="24"/>
          <w:highlight w:val="none"/>
        </w:rPr>
        <w:t>【复印件并加盖公章】</w:t>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38" w:name="_Toc101965703"/>
      <w:r>
        <w:rPr>
          <w:rFonts w:hint="eastAsia" w:ascii="Times New Roman" w:hAnsi="Times New Roman" w:eastAsia="宋体"/>
          <w:color w:val="auto"/>
          <w:highlight w:val="none"/>
        </w:rPr>
        <w:t>六、类似项目业绩表</w:t>
      </w:r>
      <w:bookmarkEnd w:id="238"/>
    </w:p>
    <w:p>
      <w:pPr>
        <w:spacing w:before="0" w:after="0" w:afterAutospacing="0"/>
        <w:ind w:left="0" w:right="0" w:firstLine="420" w:firstLineChars="200"/>
        <w:rPr>
          <w:rFonts w:hAnsi="宋体"/>
          <w:color w:val="auto"/>
          <w:highlight w:val="none"/>
        </w:rPr>
      </w:pPr>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r>
        <w:rPr>
          <w:rFonts w:hint="eastAsia" w:ascii="宋体" w:hAnsi="宋体"/>
          <w:b/>
          <w:color w:val="auto"/>
          <w:highlight w:val="none"/>
        </w:rPr>
        <w:t>（如有）</w:t>
      </w:r>
    </w:p>
    <w:tbl>
      <w:tblPr>
        <w:tblStyle w:val="26"/>
        <w:tblW w:w="9133" w:type="dxa"/>
        <w:jc w:val="center"/>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684"/>
        <w:gridCol w:w="1339"/>
        <w:gridCol w:w="1789"/>
        <w:gridCol w:w="1352"/>
        <w:gridCol w:w="1531"/>
        <w:gridCol w:w="1275"/>
        <w:gridCol w:w="1163"/>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684" w:type="dxa"/>
            <w:vAlign w:val="center"/>
          </w:tcPr>
          <w:p>
            <w:pPr>
              <w:ind w:left="0" w:firstLine="0"/>
              <w:rPr>
                <w:rFonts w:ascii="宋体" w:hAnsi="宋体"/>
                <w:color w:val="auto"/>
                <w:highlight w:val="none"/>
              </w:rPr>
            </w:pPr>
            <w:r>
              <w:rPr>
                <w:rFonts w:hint="eastAsia" w:ascii="宋体" w:hAnsi="宋体"/>
                <w:color w:val="auto"/>
                <w:highlight w:val="none"/>
              </w:rPr>
              <w:t>序号</w:t>
            </w:r>
          </w:p>
        </w:tc>
        <w:tc>
          <w:tcPr>
            <w:tcW w:w="1339" w:type="dxa"/>
            <w:vAlign w:val="center"/>
          </w:tcPr>
          <w:p>
            <w:pPr>
              <w:ind w:left="0" w:firstLine="0"/>
              <w:rPr>
                <w:rFonts w:ascii="宋体" w:hAnsi="宋体"/>
                <w:color w:val="auto"/>
                <w:highlight w:val="none"/>
              </w:rPr>
            </w:pPr>
            <w:r>
              <w:rPr>
                <w:rFonts w:hint="eastAsia" w:ascii="宋体" w:hAnsi="宋体"/>
                <w:color w:val="auto"/>
                <w:highlight w:val="none"/>
              </w:rPr>
              <w:t>项目名称</w:t>
            </w:r>
          </w:p>
        </w:tc>
        <w:tc>
          <w:tcPr>
            <w:tcW w:w="1789" w:type="dxa"/>
            <w:vAlign w:val="center"/>
          </w:tcPr>
          <w:p>
            <w:pPr>
              <w:ind w:left="0" w:firstLine="0"/>
              <w:rPr>
                <w:rFonts w:ascii="宋体" w:hAnsi="宋体"/>
                <w:color w:val="auto"/>
                <w:highlight w:val="none"/>
              </w:rPr>
            </w:pPr>
            <w:r>
              <w:rPr>
                <w:rFonts w:hint="eastAsia" w:ascii="宋体" w:hAnsi="宋体"/>
                <w:color w:val="auto"/>
                <w:highlight w:val="none"/>
              </w:rPr>
              <w:t>合同内容（简述）</w:t>
            </w:r>
          </w:p>
        </w:tc>
        <w:tc>
          <w:tcPr>
            <w:tcW w:w="1352" w:type="dxa"/>
            <w:vAlign w:val="center"/>
          </w:tcPr>
          <w:p>
            <w:pPr>
              <w:ind w:left="0" w:firstLine="0"/>
              <w:jc w:val="center"/>
              <w:rPr>
                <w:rFonts w:ascii="宋体" w:hAnsi="宋体"/>
                <w:color w:val="auto"/>
                <w:highlight w:val="none"/>
              </w:rPr>
            </w:pPr>
            <w:r>
              <w:rPr>
                <w:rFonts w:hint="eastAsia" w:ascii="宋体" w:hAnsi="宋体"/>
                <w:color w:val="auto"/>
                <w:highlight w:val="none"/>
              </w:rPr>
              <w:t>合同金额</w:t>
            </w:r>
          </w:p>
        </w:tc>
        <w:tc>
          <w:tcPr>
            <w:tcW w:w="1531" w:type="dxa"/>
            <w:vAlign w:val="center"/>
          </w:tcPr>
          <w:p>
            <w:pPr>
              <w:ind w:left="0" w:firstLine="0"/>
              <w:jc w:val="center"/>
              <w:rPr>
                <w:rFonts w:ascii="宋体" w:hAnsi="宋体"/>
                <w:color w:val="auto"/>
                <w:highlight w:val="none"/>
              </w:rPr>
            </w:pPr>
            <w:r>
              <w:rPr>
                <w:rFonts w:hint="eastAsia" w:ascii="宋体" w:hAnsi="宋体"/>
                <w:color w:val="auto"/>
                <w:highlight w:val="none"/>
              </w:rPr>
              <w:t>签订时间</w:t>
            </w:r>
          </w:p>
        </w:tc>
        <w:tc>
          <w:tcPr>
            <w:tcW w:w="1275" w:type="dxa"/>
            <w:vAlign w:val="center"/>
          </w:tcPr>
          <w:p>
            <w:pPr>
              <w:ind w:left="0" w:firstLine="0"/>
              <w:rPr>
                <w:rFonts w:ascii="宋体" w:hAnsi="宋体"/>
                <w:color w:val="auto"/>
                <w:highlight w:val="none"/>
              </w:rPr>
            </w:pPr>
            <w:r>
              <w:rPr>
                <w:rFonts w:hint="eastAsia" w:ascii="宋体" w:hAnsi="宋体"/>
                <w:color w:val="auto"/>
                <w:highlight w:val="none"/>
              </w:rPr>
              <w:t>业主单位</w:t>
            </w:r>
          </w:p>
        </w:tc>
        <w:tc>
          <w:tcPr>
            <w:tcW w:w="1163" w:type="dxa"/>
            <w:vAlign w:val="center"/>
          </w:tcPr>
          <w:p>
            <w:pPr>
              <w:ind w:left="0" w:firstLine="0"/>
              <w:rPr>
                <w:rFonts w:ascii="宋体" w:hAnsi="宋体"/>
                <w:color w:val="auto"/>
                <w:highlight w:val="none"/>
              </w:rPr>
            </w:pPr>
            <w:r>
              <w:rPr>
                <w:rFonts w:hint="eastAsia" w:ascii="宋体" w:hAnsi="宋体"/>
                <w:color w:val="auto"/>
                <w:highlight w:val="none"/>
              </w:rPr>
              <w:t>联系电话</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684" w:type="dxa"/>
          </w:tcPr>
          <w:p>
            <w:pPr>
              <w:ind w:left="0" w:firstLine="0"/>
              <w:rPr>
                <w:rFonts w:ascii="宋体" w:hAnsi="宋体"/>
                <w:color w:val="auto"/>
                <w:highlight w:val="none"/>
              </w:rPr>
            </w:pPr>
          </w:p>
        </w:tc>
        <w:tc>
          <w:tcPr>
            <w:tcW w:w="1339" w:type="dxa"/>
          </w:tcPr>
          <w:p>
            <w:pPr>
              <w:ind w:left="0" w:firstLine="0"/>
              <w:rPr>
                <w:rFonts w:ascii="宋体" w:hAnsi="宋体"/>
                <w:color w:val="auto"/>
                <w:highlight w:val="none"/>
              </w:rPr>
            </w:pPr>
          </w:p>
        </w:tc>
        <w:tc>
          <w:tcPr>
            <w:tcW w:w="1789" w:type="dxa"/>
          </w:tcPr>
          <w:p>
            <w:pPr>
              <w:ind w:left="0" w:firstLine="0"/>
              <w:rPr>
                <w:rFonts w:ascii="宋体" w:hAnsi="宋体"/>
                <w:color w:val="auto"/>
                <w:highlight w:val="none"/>
              </w:rPr>
            </w:pPr>
          </w:p>
        </w:tc>
        <w:tc>
          <w:tcPr>
            <w:tcW w:w="1352" w:type="dxa"/>
          </w:tcPr>
          <w:p>
            <w:pPr>
              <w:ind w:left="0" w:firstLine="0"/>
              <w:rPr>
                <w:rFonts w:ascii="宋体" w:hAnsi="宋体"/>
                <w:color w:val="auto"/>
                <w:highlight w:val="none"/>
              </w:rPr>
            </w:pPr>
          </w:p>
        </w:tc>
        <w:tc>
          <w:tcPr>
            <w:tcW w:w="1531" w:type="dxa"/>
          </w:tcPr>
          <w:p>
            <w:pPr>
              <w:ind w:left="0" w:firstLine="0"/>
              <w:rPr>
                <w:rFonts w:ascii="宋体" w:hAnsi="宋体"/>
                <w:color w:val="auto"/>
                <w:highlight w:val="none"/>
              </w:rPr>
            </w:pPr>
          </w:p>
        </w:tc>
        <w:tc>
          <w:tcPr>
            <w:tcW w:w="1275" w:type="dxa"/>
          </w:tcPr>
          <w:p>
            <w:pPr>
              <w:ind w:left="0" w:firstLine="0"/>
              <w:rPr>
                <w:rFonts w:ascii="宋体" w:hAnsi="宋体"/>
                <w:color w:val="auto"/>
                <w:highlight w:val="none"/>
              </w:rPr>
            </w:pPr>
          </w:p>
        </w:tc>
        <w:tc>
          <w:tcPr>
            <w:tcW w:w="1163" w:type="dxa"/>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w:t>
      </w:r>
      <w:r>
        <w:rPr>
          <w:rFonts w:hint="eastAsia" w:ascii="宋体" w:hAnsi="宋体"/>
          <w:color w:val="auto"/>
          <w:highlight w:val="none"/>
          <w:u w:val="single"/>
        </w:rPr>
        <w:t>（与比选公告描述一致）</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比选申请人须提供相应的业绩证明材料：提供下述材料之一即可：①合同文件；②业主（采购方）开具的证明材料，但所提供的材料须能明确反映类似项目特征，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39" w:name="_Toc101965704"/>
      <w:r>
        <w:rPr>
          <w:rFonts w:hint="eastAsia" w:ascii="Times New Roman" w:hAnsi="Times New Roman" w:eastAsia="宋体"/>
          <w:color w:val="auto"/>
          <w:highlight w:val="none"/>
        </w:rPr>
        <w:t>七、比选响应表</w:t>
      </w:r>
      <w:bookmarkEnd w:id="239"/>
    </w:p>
    <w:p>
      <w:pPr>
        <w:spacing w:before="0" w:after="0" w:afterAutospacing="0"/>
        <w:ind w:left="0" w:right="0" w:firstLine="420" w:firstLineChars="200"/>
        <w:rPr>
          <w:rFonts w:hAnsi="宋体"/>
          <w:color w:val="auto"/>
          <w:highlight w:val="none"/>
        </w:rPr>
      </w:pPr>
    </w:p>
    <w:tbl>
      <w:tblPr>
        <w:tblStyle w:val="26"/>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hint="eastAsia" w:ascii="宋体" w:hAnsi="宋体"/>
                <w:color w:val="auto"/>
                <w:highlight w:val="none"/>
              </w:rPr>
              <w:t>项目</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比选文件要求内容所在章节</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包含内容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567" w:type="dxa"/>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2</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2</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用户需求书内容</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bl>
    <w:p>
      <w:pPr>
        <w:snapToGrid w:val="0"/>
        <w:spacing w:after="50"/>
        <w:ind w:left="0" w:right="-57" w:firstLine="0"/>
        <w:rPr>
          <w:rFonts w:ascii="宋体" w:hAnsi="宋体"/>
          <w:b/>
          <w:color w:val="auto"/>
          <w:highlight w:val="none"/>
        </w:rPr>
      </w:pPr>
    </w:p>
    <w:p>
      <w:pPr>
        <w:snapToGrid w:val="0"/>
        <w:spacing w:after="50"/>
        <w:ind w:left="0"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注：上述响应要求必须全部为“完全响应”，否则，比选申请人将被视为不满足比选文件要求。</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ind w:left="0" w:right="0" w:firstLine="425"/>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4"/>
        <w:pageBreakBefore/>
        <w:widowControl w:val="0"/>
        <w:spacing w:before="40" w:after="100" w:line="240" w:lineRule="auto"/>
        <w:ind w:left="0" w:right="-28" w:firstLine="0"/>
        <w:jc w:val="center"/>
        <w:rPr>
          <w:rFonts w:ascii="Times New Roman" w:hAnsi="Times New Roman" w:eastAsia="宋体"/>
          <w:color w:val="auto"/>
          <w:highlight w:val="none"/>
        </w:rPr>
      </w:pPr>
      <w:bookmarkStart w:id="240" w:name="_Toc101965705"/>
      <w:r>
        <w:rPr>
          <w:rFonts w:hint="eastAsia" w:ascii="Times New Roman" w:hAnsi="Times New Roman" w:eastAsia="宋体"/>
          <w:color w:val="auto"/>
          <w:highlight w:val="none"/>
        </w:rPr>
        <w:t>八、其他</w:t>
      </w:r>
      <w:bookmarkEnd w:id="240"/>
    </w:p>
    <w:p>
      <w:pPr>
        <w:spacing w:before="0" w:after="0" w:afterAutospacing="0"/>
        <w:ind w:left="0" w:right="0" w:firstLine="482" w:firstLineChars="200"/>
        <w:rPr>
          <w:rFonts w:hAnsi="宋体"/>
          <w:color w:val="auto"/>
          <w:highlight w:val="none"/>
        </w:rPr>
      </w:pPr>
      <w:r>
        <w:rPr>
          <w:rFonts w:hint="eastAsia" w:ascii="宋体" w:hAnsi="宋体"/>
          <w:b/>
          <w:color w:val="auto"/>
          <w:sz w:val="24"/>
          <w:szCs w:val="24"/>
          <w:highlight w:val="none"/>
        </w:rPr>
        <w:t>【如有，格式自拟】</w:t>
      </w: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pStyle w:val="2"/>
        <w:pageBreakBefore/>
        <w:ind w:right="-57" w:firstLine="0"/>
        <w:jc w:val="center"/>
        <w:outlineLvl w:val="0"/>
        <w:rPr>
          <w:rFonts w:hAnsi="宋体"/>
          <w:b/>
          <w:color w:val="auto"/>
          <w:highlight w:val="none"/>
        </w:rPr>
      </w:pPr>
      <w:bookmarkStart w:id="241" w:name="_Toc6454"/>
      <w:bookmarkStart w:id="242" w:name="_Toc9597"/>
      <w:bookmarkStart w:id="243" w:name="_Toc28135"/>
      <w:bookmarkStart w:id="244" w:name="_Toc16754"/>
      <w:bookmarkStart w:id="245" w:name="_Toc12695"/>
      <w:bookmarkStart w:id="246" w:name="_Toc14566"/>
      <w:bookmarkStart w:id="247" w:name="_Toc30897"/>
      <w:bookmarkStart w:id="248" w:name="_Toc492478835"/>
      <w:bookmarkStart w:id="249" w:name="_Toc25061"/>
      <w:bookmarkStart w:id="250" w:name="_Toc6337"/>
      <w:bookmarkStart w:id="251" w:name="_Toc20298"/>
      <w:bookmarkStart w:id="252" w:name="_Toc13941"/>
      <w:bookmarkStart w:id="253" w:name="_Toc5010"/>
      <w:bookmarkStart w:id="254" w:name="_Toc26409"/>
      <w:bookmarkStart w:id="255" w:name="_Toc31681"/>
      <w:bookmarkStart w:id="256" w:name="_Toc28535"/>
      <w:bookmarkStart w:id="257" w:name="_Toc21321"/>
      <w:bookmarkStart w:id="258" w:name="_Toc328"/>
      <w:bookmarkStart w:id="259" w:name="_Toc101965706"/>
      <w:r>
        <w:rPr>
          <w:rStyle w:val="39"/>
          <w:rFonts w:hint="eastAsia" w:ascii="宋体" w:hAnsi="宋体" w:eastAsia="宋体"/>
          <w:color w:val="auto"/>
          <w:highlight w:val="none"/>
        </w:rPr>
        <w:t>第五章用户需求书</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snapToGrid w:val="0"/>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一、商务要求</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2.交货期限：合同签订且交货通知书发出后90天内分批交货，如遇春节期间，交货期可适当延长，但不得超过4个月，具体按交货通知为准。</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3.交货地点：广西壮族自治区南宁市内比选人指定地点。</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4.验收：货物到达指定交付地点后，比选人按照双方签订的合同及比选文件要求，于10个工作日内组织验收。</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5.质保期：24个月。</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7.有保质期或有效期的货物，交货时的有效保质期或有效期须不少于整个保质期或有效期的2/3以上（保质期为1年的，有效保质期须大于等于6个月）；无保质期或有效期的货物，国产货物须为交货时1年以内生产，进口货物须为交货时2年以内生产。如涉及到特殊货物，由双方协商决定。</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9.本项目货物的设计、制造必须符合中华人民共和国国家标准和相关行业标准及规定；这些标准必须是有关机构颁布的最新的标准；中选人应按国家规定提供相应的产品检验报告和合格证。</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11.比选申请人比选申请货物的规格参数需与“技术需求及数量表”中的要求完全相符，投报货物的性能参数须等同于或优于“技术需求及数量表”中的要求。如中选人供货货物质量不合格或提供假冒伪劣产品的，比选人将依法追究其法律责任。</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12.本需求书所使用的标准如与比选申请人所执行的标准发生矛盾时，按较高标准执行，同时比选申请人应在比选申请文件中加以注明，并附上引用较高标准造成成本及报价差异说明。</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13.《技术需求及数量表》备注栏中标有：1.备注栏标有“△”的货物是本项目重点物资，交货时须提供原厂供货证明；</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14.备注栏标有“按样品”的货物，中选供应商须按要求提供图纸或样品，并按确认后的图纸或样品供货；</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15.备注栏标有“编号”的货物，交货时须印制甲方提供的编号；</w:t>
      </w:r>
    </w:p>
    <w:p>
      <w:pPr>
        <w:snapToGrid w:val="0"/>
        <w:spacing w:before="0" w:after="0" w:afterAutospacing="0"/>
        <w:ind w:left="0" w:right="0" w:firstLine="420" w:firstLineChars="200"/>
        <w:jc w:val="left"/>
        <w:rPr>
          <w:rFonts w:ascii="宋体" w:hAnsi="宋体"/>
          <w:bCs/>
          <w:color w:val="auto"/>
          <w:highlight w:val="none"/>
        </w:rPr>
      </w:pPr>
      <w:r>
        <w:rPr>
          <w:rFonts w:hint="eastAsia" w:ascii="宋体" w:hAnsi="宋体"/>
          <w:bCs/>
          <w:color w:val="auto"/>
          <w:highlight w:val="none"/>
        </w:rPr>
        <w:t>16.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运营有限公司”，产生的所有费用已包含在项目报价中；出具检定/校准报告的机构须为省级（含省级）以上质量检验中心检测报告。</w:t>
      </w:r>
    </w:p>
    <w:p>
      <w:pPr>
        <w:snapToGrid w:val="0"/>
        <w:spacing w:before="0" w:after="0" w:afterAutospacing="0"/>
        <w:ind w:left="0" w:right="0" w:firstLine="422" w:firstLineChars="200"/>
        <w:jc w:val="left"/>
        <w:rPr>
          <w:rFonts w:ascii="宋体" w:hAnsi="宋体"/>
          <w:b/>
          <w:color w:val="auto"/>
          <w:highlight w:val="none"/>
        </w:rPr>
      </w:pPr>
    </w:p>
    <w:p>
      <w:pPr>
        <w:snapToGrid w:val="0"/>
        <w:ind w:left="0" w:right="0" w:firstLine="0"/>
        <w:jc w:val="left"/>
        <w:outlineLvl w:val="0"/>
        <w:rPr>
          <w:rFonts w:ascii="宋体" w:hAnsi="宋体"/>
          <w:b/>
          <w:color w:val="auto"/>
          <w:highlight w:val="none"/>
        </w:rPr>
      </w:pPr>
      <w:r>
        <w:rPr>
          <w:rFonts w:hint="eastAsia" w:ascii="宋体" w:hAnsi="宋体"/>
          <w:b/>
          <w:color w:val="auto"/>
          <w:highlight w:val="none"/>
        </w:rPr>
        <w:t>二、技术需求及数量表</w:t>
      </w: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422" w:firstLineChars="200"/>
        <w:jc w:val="left"/>
        <w:rPr>
          <w:rFonts w:ascii="宋体" w:hAnsi="宋体"/>
          <w:b/>
          <w:color w:val="auto"/>
          <w:highlight w:val="none"/>
        </w:rPr>
      </w:pPr>
    </w:p>
    <w:p>
      <w:pPr>
        <w:snapToGrid w:val="0"/>
        <w:spacing w:before="0" w:after="0" w:afterAutospacing="0"/>
        <w:ind w:left="0" w:right="0" w:firstLine="0"/>
        <w:jc w:val="left"/>
        <w:rPr>
          <w:rFonts w:ascii="宋体" w:hAnsi="宋体"/>
          <w:b/>
          <w:color w:val="auto"/>
          <w:highlight w:val="none"/>
        </w:rPr>
        <w:sectPr>
          <w:headerReference r:id="rId7" w:type="default"/>
          <w:pgSz w:w="11905" w:h="16838"/>
          <w:pgMar w:top="1418" w:right="1418" w:bottom="1304" w:left="1418" w:header="454" w:footer="567" w:gutter="0"/>
          <w:cols w:space="720" w:num="1"/>
          <w:docGrid w:linePitch="312" w:charSpace="0"/>
        </w:sectPr>
      </w:pPr>
    </w:p>
    <w:tbl>
      <w:tblPr>
        <w:tblStyle w:val="26"/>
        <w:tblW w:w="4996" w:type="pct"/>
        <w:tblInd w:w="0" w:type="dxa"/>
        <w:tblLayout w:type="fixed"/>
        <w:tblCellMar>
          <w:top w:w="0" w:type="dxa"/>
          <w:left w:w="108" w:type="dxa"/>
          <w:bottom w:w="0" w:type="dxa"/>
          <w:right w:w="108" w:type="dxa"/>
        </w:tblCellMar>
      </w:tblPr>
      <w:tblGrid>
        <w:gridCol w:w="723"/>
        <w:gridCol w:w="1425"/>
        <w:gridCol w:w="6311"/>
        <w:gridCol w:w="1098"/>
        <w:gridCol w:w="1098"/>
        <w:gridCol w:w="1097"/>
        <w:gridCol w:w="1097"/>
        <w:gridCol w:w="1472"/>
      </w:tblGrid>
      <w:tr>
        <w:tblPrEx>
          <w:tblCellMar>
            <w:top w:w="0" w:type="dxa"/>
            <w:left w:w="108" w:type="dxa"/>
            <w:bottom w:w="0" w:type="dxa"/>
            <w:right w:w="108" w:type="dxa"/>
          </w:tblCellMar>
        </w:tblPrEx>
        <w:trPr>
          <w:trHeight w:val="389" w:hRule="atLeast"/>
        </w:trPr>
        <w:tc>
          <w:tcPr>
            <w:tcW w:w="252"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序号</w:t>
            </w:r>
          </w:p>
        </w:tc>
        <w:tc>
          <w:tcPr>
            <w:tcW w:w="497"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货物名称</w:t>
            </w:r>
          </w:p>
        </w:tc>
        <w:tc>
          <w:tcPr>
            <w:tcW w:w="2202"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0" w:after="0" w:afterAutospacing="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性能参数要求</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参考品牌</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型号</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单位</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总数量</w:t>
            </w: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备注</w:t>
            </w:r>
          </w:p>
        </w:tc>
      </w:tr>
      <w:tr>
        <w:tblPrEx>
          <w:tblCellMar>
            <w:top w:w="0" w:type="dxa"/>
            <w:left w:w="108" w:type="dxa"/>
            <w:bottom w:w="0" w:type="dxa"/>
            <w:right w:w="108" w:type="dxa"/>
          </w:tblCellMar>
        </w:tblPrEx>
        <w:trPr>
          <w:trHeight w:val="509"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auto"/>
                <w:sz w:val="20"/>
                <w:szCs w:val="20"/>
                <w:highlight w:val="none"/>
              </w:rPr>
            </w:pP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auto"/>
                <w:sz w:val="20"/>
                <w:szCs w:val="20"/>
                <w:highlight w:val="none"/>
              </w:rPr>
            </w:pPr>
          </w:p>
        </w:tc>
        <w:tc>
          <w:tcPr>
            <w:tcW w:w="2202"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0" w:after="0" w:afterAutospacing="0"/>
              <w:ind w:left="0" w:right="0" w:firstLine="0"/>
              <w:jc w:val="center"/>
              <w:rPr>
                <w:rFonts w:ascii="宋体" w:hAnsi="宋体" w:cs="宋体"/>
                <w:color w:val="auto"/>
                <w:sz w:val="20"/>
                <w:szCs w:val="20"/>
                <w:highlight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auto"/>
                <w:sz w:val="20"/>
                <w:szCs w:val="20"/>
                <w:highlight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auto"/>
                <w:sz w:val="20"/>
                <w:szCs w:val="20"/>
                <w:highlight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auto"/>
                <w:sz w:val="20"/>
                <w:szCs w:val="20"/>
                <w:highlight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auto"/>
                <w:sz w:val="20"/>
                <w:szCs w:val="20"/>
                <w:highlight w:val="none"/>
              </w:rPr>
            </w:pP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0"/>
              <w:ind w:left="0" w:right="0" w:firstLine="0"/>
              <w:jc w:val="center"/>
              <w:rPr>
                <w:rFonts w:ascii="宋体" w:hAnsi="宋体" w:cs="宋体"/>
                <w:color w:val="auto"/>
                <w:sz w:val="20"/>
                <w:szCs w:val="20"/>
                <w:highlight w:val="none"/>
              </w:rPr>
            </w:pPr>
          </w:p>
        </w:tc>
      </w:tr>
      <w:tr>
        <w:tblPrEx>
          <w:tblCellMar>
            <w:top w:w="0" w:type="dxa"/>
            <w:left w:w="108" w:type="dxa"/>
            <w:bottom w:w="0" w:type="dxa"/>
            <w:right w:w="108" w:type="dxa"/>
          </w:tblCellMar>
        </w:tblPrEx>
        <w:trPr>
          <w:trHeight w:val="3380" w:hRule="atLeast"/>
        </w:trPr>
        <w:tc>
          <w:tcPr>
            <w:tcW w:w="252" w:type="pct"/>
            <w:tcBorders>
              <w:top w:val="nil"/>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w:t>
            </w:r>
          </w:p>
        </w:tc>
        <w:tc>
          <w:tcPr>
            <w:tcW w:w="497" w:type="pct"/>
            <w:tcBorders>
              <w:top w:val="nil"/>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沙发套装</w:t>
            </w:r>
          </w:p>
        </w:tc>
        <w:tc>
          <w:tcPr>
            <w:tcW w:w="2202" w:type="pct"/>
            <w:tcBorders>
              <w:top w:val="nil"/>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规格：3+2+1,含长茶几一个。沙发：2000W×800D×900H（mm），长茶几：1200W×600D×450H（mm）茶几面板厚度：25mm；</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面料：优质环保PU皮覆面，皮质光泽度好，透气性强；</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曲木板：靠背、坐垫采用多层曲木板热压成型，根据人体工程学原理设计，板材承受压力达300KG，经防潮、防腐、防虫蛀等工艺处理，保证环保；</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泡棉：高弹性聚胺脂定型海棉(模具一次成型)，采用颜色均匀的阻燃定型海绵，其中色泽颜色应均匀、黄芯，不允许有尺寸大于6mm对穿孔和大于10mm的气孔,不允许重污染,无刺激性气味。泡棉密度≥30kg/m3，回弹力≥41%，不含氟氨化合物，无甲醛及二甲苯等异味，使用无苯胶粘剂粘接，圆润厚实，软硬适中，回弹性好，表面涂有防止老化变形的保护膜；</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打底：高弹力独立弹簧或专用弹性绷带作为托承；</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框架：采用实木制内框架，木材经六面刨光处理；</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颜色：木材红棕色，面料黑色。</w:t>
            </w:r>
          </w:p>
        </w:tc>
        <w:tc>
          <w:tcPr>
            <w:tcW w:w="383" w:type="pct"/>
            <w:tcBorders>
              <w:top w:val="nil"/>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nil"/>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套</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编号，全检</w:t>
            </w:r>
          </w:p>
        </w:tc>
      </w:tr>
      <w:tr>
        <w:tblPrEx>
          <w:tblCellMar>
            <w:top w:w="0" w:type="dxa"/>
            <w:left w:w="108" w:type="dxa"/>
            <w:bottom w:w="0" w:type="dxa"/>
            <w:right w:w="108" w:type="dxa"/>
          </w:tblCellMar>
        </w:tblPrEx>
        <w:trPr>
          <w:trHeight w:val="21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2</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中层椅子</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椅背黒薄网布，座采用布绒覆面，耐磨，透气性强，坐垫：黑色；</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泡棉：高弹性聚胺脂定型海棉(模具一次成型)，泡棉密度≥30kg/m3，回弹力≥41%，不含氟氨化合物，无甲醛及二甲苯等异味，使用无苯胶粘剂粘接，圆润厚实，软硬适中，回弹性好，表面涂有防止老化变形的保护膜；</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优质气压棒，最大承重250KG，回旋次数30万次，性能良好；</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选用优质钢制五星脚及优质高强度尼龙万向轮，承重不低于250kg,活动自如，滑动时无噪音，带头靠、腰靠。</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3</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编号，抽检</w:t>
            </w:r>
          </w:p>
        </w:tc>
      </w:tr>
      <w:tr>
        <w:tblPrEx>
          <w:tblCellMar>
            <w:top w:w="0" w:type="dxa"/>
            <w:left w:w="108" w:type="dxa"/>
            <w:bottom w:w="0" w:type="dxa"/>
            <w:right w:w="108" w:type="dxa"/>
          </w:tblCellMar>
        </w:tblPrEx>
        <w:trPr>
          <w:trHeight w:val="23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3</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职员椅子（弓形）</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采用皮质光泽度好,透气性强,优质环保PU皮覆面；钢管壁厚1.8mm；</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泡棉：采用高弹性聚胺脂定型海棉(模具一次成型)，采用颜色均匀的阻燃定型海绵，其中色泽颜色应均匀，允许轻微杂色、黄芯。不允许有尺寸大于6mm对穿孔和大于10mm的气孔,不允许重污染,无刺激性气味。泡棉密度≥30kg/m3，回弹力≥41%，不含氟氨化合物，无甲醛及二甲苯等异味，使用无苯胶粘剂粘接，圆润厚实，软硬适中，回弹性好，表面涂有防止老化变形的保护膜；</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尺寸：总高950mm、坐垫离地高400mm，背靠椅与坐垫拐弯连接处：使用钢质材料。</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52</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△按样品，编号，抽检</w:t>
            </w:r>
          </w:p>
        </w:tc>
      </w:tr>
      <w:tr>
        <w:tblPrEx>
          <w:tblCellMar>
            <w:top w:w="0" w:type="dxa"/>
            <w:left w:w="108" w:type="dxa"/>
            <w:bottom w:w="0" w:type="dxa"/>
            <w:right w:w="108" w:type="dxa"/>
          </w:tblCellMar>
        </w:tblPrEx>
        <w:trPr>
          <w:trHeight w:val="178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4</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调度椅子</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1、面料:选用真皮，触感柔软，耐磨性强；</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2、辅料:第一层优质公仔棉填充，第二层高密度定型棉科学释压支撑，不变形；</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3、脚架：钢制五星脚，美观耐用，可承重1000KG以上；</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4、可160度平躺，座椅可调节高低；</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5、符合人体工学设计，科学4:6座椅比例设计，三段式独立缓冲区，分层缓解腰背压力；</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6、联动式弧形扶手，内置高回弹原生海绵，有效支撑腕部力量；</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7、静音滚轮，防滑、防刮、耐磨。</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16</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△按样品，编号，抽检</w:t>
            </w:r>
          </w:p>
        </w:tc>
      </w:tr>
      <w:tr>
        <w:tblPrEx>
          <w:tblCellMar>
            <w:top w:w="0" w:type="dxa"/>
            <w:left w:w="108" w:type="dxa"/>
            <w:bottom w:w="0" w:type="dxa"/>
            <w:right w:w="108" w:type="dxa"/>
          </w:tblCellMar>
        </w:tblPrEx>
        <w:trPr>
          <w:trHeight w:val="142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5</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钢制文件柜</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尺寸：1920H*850W*369D（mm）</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优质五金配件，单柜带锁。</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组</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42</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编号，抽检</w:t>
            </w:r>
          </w:p>
        </w:tc>
      </w:tr>
      <w:tr>
        <w:tblPrEx>
          <w:tblCellMar>
            <w:top w:w="0" w:type="dxa"/>
            <w:left w:w="108" w:type="dxa"/>
            <w:bottom w:w="0" w:type="dxa"/>
            <w:right w:w="108" w:type="dxa"/>
          </w:tblCellMar>
        </w:tblPrEx>
        <w:trPr>
          <w:trHeight w:val="9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6</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折叠椅子</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材质：采用皮质光泽度好,透气性强,优质环保皮覆面+优质静电喷涂钢管，展开尺寸440*400*780（mm）,颜色：黑色。</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122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7</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站厅传单展示架</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长宽高规格：635*360*1275（mm）；</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 xml:space="preserve">材料采用优质0.6MM厚冷轧钢板，经剪板、冲压、折弯、点焊成型，外表经除锈、水洗、酸洗、磷化、再水洗、烘干处理。 表面处理：表面经过脱脂→酸洗→表调→磷化→水洗→烘干→静电喷塑→烘干等九工位处理，底座带滑轮。共9层，带网格挡板。  </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8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8</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塑料凳</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尺寸：高440mm*宽395mm(底脚宽)±20mm；</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PP材质 加厚好质量 安全耐摔；</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颜色:红色。</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84</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136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9</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玻璃文件柜</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深宽高规格：390*850*1900（mm）；</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钢板采用优质冷轧钢，侧板、门板、承载部件的钢板厚度为0.8mm；产品外观光滑平整，无划伤，开裂和变形，整柜外表涂层色泽一致，无涂层脱落或露底；冲压件平整，无毛刺，无裂缝，焊接牢固，外表光滑、平整；表面光滑平整，无划伤，色泽均匀，无露底，流挂，起泡，皱皮等缺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组</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12</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12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10</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钢材椅</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1、依据人体工程学原理设计；</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2、椅座、背：优质钢材；</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3、脚架：钢材脚架，静电喷涂处理；</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4、椅子尺寸常规；</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5、钢材面板厚度1.2mm。</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13</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编号，抽检</w:t>
            </w:r>
          </w:p>
        </w:tc>
      </w:tr>
      <w:tr>
        <w:tblPrEx>
          <w:tblCellMar>
            <w:top w:w="0" w:type="dxa"/>
            <w:left w:w="108" w:type="dxa"/>
            <w:bottom w:w="0" w:type="dxa"/>
            <w:right w:w="108" w:type="dxa"/>
          </w:tblCellMar>
        </w:tblPrEx>
        <w:trPr>
          <w:trHeight w:val="14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11</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床头柜</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 xml:space="preserve">规格：长500*宽400*高550 (mm)；                                          </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面材：优质三聚氰胺板饰面板</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基材采用优质多层板，甲醛释放量符合国标E1级要求，含水率低于9﹪，采用环保型PU聚脂油漆。附着力强、流平性高，涂料亮度均匀，不褪色；家具所使用的粘合剂符合国家强制性标准。上层具有抽屉功能，带锁,下层具备开放式鞋柜功能；</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颜色：可选（首选桃木色）。与桌椅颜色保持一致。</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6</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14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12</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卷帘</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成份：30%玻璃纤维、70%PVC；开孔率：3%；干燥面积克重量：≥350g/㎡；耐光色牢度：4级以上；耐水色牢度：4级以上；PH值：4-9级；甲醛含量≤20mg/kg；可分解致癌芳香胺燃料≤5mg/kg；可萃取的重金属（汞）&lt;0.02 mg/kg。</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★面料阻燃要求：必须能提供市级（含市级）以上质量监督检验中心提供的检测材料的检测报告 达到B1级检测要求。</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需包安装，安装人员需具备登高作业证。</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所需尺寸长1.75*2.75宽，10个；长1.75*宽1.75，2个；长1.8*宽1.8，26个；合计面积约为160平方，具体以实际测量为主。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平方</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160</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96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13</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报刊架</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材质:钢管+普通夹子</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款式:支架+资料网</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规格:106*63.5*31</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重量:4kg</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台</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12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14</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屏风</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1、此款屏风采用优质材质，铝合金边框工艺为阳极氧化处理；</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2、隔板厚度为40mm，所有铝型材壁厚达到1.2mm厚，材料全部冲压完成，拆装方便自如，配套有强大的走线槽，屏风脚下上配有可调12mm高的金属调节器，优质木色MFC饰面；</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3、长高规格：1200*2000</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4、包安装并包含安装五金配件。</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块</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30</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12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15</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办公地柜</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1、尺寸：800*400*800，两门，双层。</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2、文件密码锁，防锈耐磨。</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3、E1级多层板材，绿色环保，结实耐用，</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4、五金缓冲门铰。</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5、颜色：深胡桃色。</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96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16</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 xml:space="preserve">密码文件柜 </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铁皮柜资料档案柜器材柜</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规格：尺寸高1850*900*420mm 厚1.0</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开锁方式：密码+钥匙</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颜色：浅灰色</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个</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2</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26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17</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卡座</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规格：★1800*1600*1200</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卡座材质说明：1、框架：横截面为30mm厚组合框架（氧化色），铝合金装饰型材截面厚度为1.2mm，结构型材截面厚度为1.0mm；表面静电粉末喷涂处理；</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2、台面基材：采用三聚氰胺饰面板：厚度不低于25mm，品牌相当于或优于大亚、福人、丰林、露水河等品牌。符合GB 18580-2017《室内装饰装修材料 人造板及制品中甲醛释放限量》和《浸渍胶膜纸饰面纤维板和刨花板》要求</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3、五金配件： 五金配件：优质五金配件；所有五金配件均氧化、镀锌、酸洗磷化等防锈处理，表面涂层没有脱落现象，质量标准符合国际及行业要求；</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4、折叠床：白色钢架，方管，管壁厚度1.2mm，承重约200公斤，可折叠使用次数5000次。展开尺寸：长1900mm*宽600mm*高225mm,折叠尺寸：高600mm*宽600mm*厚420mm；（款式颜色待客户确认生产）</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264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18</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职员椅</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1、布料：优质网布，抗张、耐磨性强。透气和防静电性能优越；</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2、黑色背框：70%PP+30%玻纤，更加耐用，椅背耐久测试，座垫施力109kg力，背垫施加45kg，累计循环测试12万次，无异常，；</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3、座垫：≥12厘10层弯曲板，优质切割棉 ,通过座垫耐久测试承重57kg，离座垫高度36mm，自由落体测试10万次，无异常；</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4、黑色PP面固定扶手：70%PP+30%玻纤扶手支架,通过耐久测试：以垂直扶手向内形成10度方向，向两个扶手同时施加41kg力，循环测试6万次无异常；</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 xml:space="preserve">5、大班蝴蝶底盘，后仰结构测试30万次，无异常； </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 xml:space="preserve">6、三级气压杆（氮气），防爆炸，施重123kg，旋转12万次无异常 </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7、五星脚：70%尼龙+30%玻纤尼龙脚</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8、轮子：加强尼龙轮，80000次循环测试无异常；</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9</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168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19</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会议桌</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规格：2800*1200*750</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基材：采用E0级刨花板基材,游离甲醛释放量不低于国内E0级标准；</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封边：同色2MM厚PVC直封边；</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五金配件：采用优质阻尼导轨及铰链优质锁具等优质五金配件；所有五金配件均氧化、镀锌、酸洗磷化等防锈处理，表面涂层没有脱落现象，质量标准符合国际及行业要求；</w:t>
            </w:r>
          </w:p>
          <w:p>
            <w:pPr>
              <w:spacing w:before="0" w:after="0" w:afterAutospacing="0"/>
              <w:ind w:left="0" w:right="0" w:firstLine="0"/>
              <w:jc w:val="left"/>
              <w:textAlignment w:val="center"/>
              <w:rPr>
                <w:rFonts w:ascii="宋体" w:hAnsi="宋体" w:cs="宋体"/>
                <w:color w:val="auto"/>
                <w:sz w:val="20"/>
                <w:szCs w:val="20"/>
                <w:highlight w:val="none"/>
                <w:lang w:bidi="ar"/>
              </w:rPr>
            </w:pPr>
            <w:r>
              <w:rPr>
                <w:rFonts w:hint="eastAsia" w:ascii="宋体" w:hAnsi="宋体" w:cs="宋体"/>
                <w:color w:val="auto"/>
                <w:sz w:val="20"/>
                <w:szCs w:val="20"/>
                <w:highlight w:val="none"/>
                <w:lang w:bidi="ar"/>
              </w:rPr>
              <w:t>贴面胶：环保贴面胶和包边胶。</w:t>
            </w:r>
          </w:p>
          <w:p>
            <w:pPr>
              <w:spacing w:before="0" w:after="0" w:afterAutospacing="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颜色：款式颜色待客户确认生产</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张</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1</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编号</w:t>
            </w:r>
          </w:p>
        </w:tc>
      </w:tr>
      <w:tr>
        <w:tblPrEx>
          <w:tblCellMar>
            <w:top w:w="0" w:type="dxa"/>
            <w:left w:w="108" w:type="dxa"/>
            <w:bottom w:w="0" w:type="dxa"/>
            <w:right w:w="108" w:type="dxa"/>
          </w:tblCellMar>
        </w:tblPrEx>
        <w:trPr>
          <w:trHeight w:val="270" w:hRule="atLeast"/>
        </w:trPr>
        <w:tc>
          <w:tcPr>
            <w:tcW w:w="2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20</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bCs/>
                <w:color w:val="auto"/>
                <w:sz w:val="20"/>
                <w:szCs w:val="20"/>
                <w:highlight w:val="none"/>
              </w:rPr>
            </w:pPr>
            <w:r>
              <w:rPr>
                <w:rFonts w:hint="eastAsia" w:ascii="宋体" w:hAnsi="宋体" w:cs="宋体"/>
                <w:b/>
                <w:bCs/>
                <w:color w:val="auto"/>
                <w:sz w:val="20"/>
                <w:szCs w:val="20"/>
                <w:highlight w:val="none"/>
                <w:lang w:bidi="ar"/>
              </w:rPr>
              <w:t>合计</w:t>
            </w:r>
          </w:p>
        </w:tc>
        <w:tc>
          <w:tcPr>
            <w:tcW w:w="2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ind w:left="0" w:right="0" w:firstLine="0"/>
              <w:jc w:val="left"/>
              <w:rPr>
                <w:rFonts w:ascii="宋体" w:hAnsi="宋体" w:cs="宋体"/>
                <w:b/>
                <w:bCs/>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bidi="ar"/>
              </w:rPr>
              <w:t>444</w:t>
            </w:r>
          </w:p>
        </w:tc>
        <w:tc>
          <w:tcPr>
            <w:tcW w:w="5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ind w:left="0" w:right="0" w:firstLine="0"/>
              <w:jc w:val="left"/>
              <w:rPr>
                <w:rFonts w:ascii="宋体" w:hAnsi="宋体" w:cs="宋体"/>
                <w:color w:val="auto"/>
                <w:sz w:val="20"/>
                <w:szCs w:val="20"/>
                <w:highlight w:val="none"/>
              </w:rPr>
            </w:pPr>
          </w:p>
        </w:tc>
      </w:tr>
    </w:tbl>
    <w:p>
      <w:pPr>
        <w:snapToGrid w:val="0"/>
        <w:spacing w:before="0" w:after="0" w:afterAutospacing="0"/>
        <w:ind w:left="0" w:right="0" w:firstLine="0"/>
        <w:jc w:val="left"/>
        <w:rPr>
          <w:rFonts w:ascii="宋体" w:hAnsi="宋体"/>
          <w:b/>
          <w:color w:val="auto"/>
          <w:highlight w:val="none"/>
        </w:rPr>
        <w:sectPr>
          <w:pgSz w:w="16838" w:h="11905" w:orient="landscape"/>
          <w:pgMar w:top="1418" w:right="1418" w:bottom="1418" w:left="1304" w:header="454" w:footer="567" w:gutter="0"/>
          <w:cols w:space="720" w:num="1"/>
          <w:docGrid w:linePitch="312" w:charSpace="0"/>
        </w:sectPr>
      </w:pPr>
    </w:p>
    <w:tbl>
      <w:tblPr>
        <w:tblStyle w:val="26"/>
        <w:tblW w:w="9090" w:type="dxa"/>
        <w:tblInd w:w="93" w:type="dxa"/>
        <w:tblLayout w:type="autofit"/>
        <w:tblCellMar>
          <w:top w:w="0" w:type="dxa"/>
          <w:left w:w="108" w:type="dxa"/>
          <w:bottom w:w="0" w:type="dxa"/>
          <w:right w:w="108" w:type="dxa"/>
        </w:tblCellMar>
      </w:tblPr>
      <w:tblGrid>
        <w:gridCol w:w="1139"/>
        <w:gridCol w:w="2370"/>
        <w:gridCol w:w="1791"/>
        <w:gridCol w:w="3790"/>
      </w:tblGrid>
      <w:tr>
        <w:tblPrEx>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4"/>
                <w:szCs w:val="24"/>
                <w:highlight w:val="none"/>
              </w:rPr>
            </w:pPr>
            <w:r>
              <w:rPr>
                <w:rFonts w:hint="eastAsia" w:ascii="宋体" w:hAnsi="宋体" w:cs="宋体"/>
                <w:b/>
                <w:bCs/>
                <w:color w:val="auto"/>
                <w:sz w:val="24"/>
                <w:szCs w:val="24"/>
                <w:highlight w:val="none"/>
                <w:lang w:bidi="ar"/>
              </w:rPr>
              <w:t>序号</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4"/>
                <w:szCs w:val="24"/>
                <w:highlight w:val="none"/>
              </w:rPr>
            </w:pPr>
            <w:r>
              <w:rPr>
                <w:rFonts w:hint="eastAsia" w:ascii="宋体" w:hAnsi="宋体" w:cs="宋体"/>
                <w:b/>
                <w:bCs/>
                <w:color w:val="auto"/>
                <w:sz w:val="24"/>
                <w:szCs w:val="24"/>
                <w:highlight w:val="none"/>
                <w:lang w:bidi="ar"/>
              </w:rPr>
              <w:t>货物名称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bCs/>
                <w:color w:val="auto"/>
                <w:sz w:val="24"/>
                <w:szCs w:val="24"/>
                <w:highlight w:val="none"/>
              </w:rPr>
            </w:pPr>
            <w:r>
              <w:rPr>
                <w:rFonts w:hint="eastAsia" w:ascii="宋体" w:hAnsi="宋体" w:cs="宋体"/>
                <w:b/>
                <w:bCs/>
                <w:color w:val="auto"/>
                <w:sz w:val="24"/>
                <w:szCs w:val="24"/>
                <w:highlight w:val="none"/>
                <w:lang w:bidi="ar"/>
              </w:rPr>
              <w:t>备注</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bCs/>
                <w:color w:val="auto"/>
                <w:sz w:val="24"/>
                <w:szCs w:val="24"/>
                <w:highlight w:val="none"/>
              </w:rPr>
            </w:pPr>
            <w:r>
              <w:rPr>
                <w:rFonts w:hint="eastAsia" w:ascii="宋体" w:hAnsi="宋体" w:cs="宋体"/>
                <w:b/>
                <w:bCs/>
                <w:color w:val="auto"/>
                <w:sz w:val="24"/>
                <w:szCs w:val="24"/>
                <w:highlight w:val="none"/>
                <w:lang w:bidi="ar"/>
              </w:rPr>
              <w:t>参考图片</w:t>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沙发套装</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编号，全检</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b/>
                <w:bCs/>
                <w:color w:val="auto"/>
                <w:sz w:val="20"/>
                <w:szCs w:val="20"/>
                <w:highlight w:val="none"/>
              </w:rPr>
            </w:pPr>
            <w:r>
              <w:rPr>
                <w:rFonts w:hint="eastAsia" w:ascii="宋体" w:hAnsi="宋体" w:cs="宋体"/>
                <w:b/>
                <w:bCs/>
                <w:color w:val="auto"/>
                <w:sz w:val="20"/>
                <w:szCs w:val="20"/>
                <w:highlight w:val="none"/>
                <w:bdr w:val="single" w:color="000000" w:sz="4" w:space="0"/>
              </w:rPr>
              <w:drawing>
                <wp:anchor distT="0" distB="0" distL="114300" distR="114300" simplePos="0" relativeHeight="251659264" behindDoc="0" locked="0" layoutInCell="1" allowOverlap="1">
                  <wp:simplePos x="0" y="0"/>
                  <wp:positionH relativeFrom="column">
                    <wp:posOffset>25400</wp:posOffset>
                  </wp:positionH>
                  <wp:positionV relativeFrom="paragraph">
                    <wp:posOffset>161290</wp:posOffset>
                  </wp:positionV>
                  <wp:extent cx="2241550" cy="1153160"/>
                  <wp:effectExtent l="0" t="0" r="6350" b="8890"/>
                  <wp:wrapNone/>
                  <wp:docPr id="5" name="图片_1"/>
                  <wp:cNvGraphicFramePr/>
                  <a:graphic xmlns:a="http://schemas.openxmlformats.org/drawingml/2006/main">
                    <a:graphicData uri="http://schemas.openxmlformats.org/drawingml/2006/picture">
                      <pic:pic xmlns:pic="http://schemas.openxmlformats.org/drawingml/2006/picture">
                        <pic:nvPicPr>
                          <pic:cNvPr id="5" name="图片_1"/>
                          <pic:cNvPicPr/>
                        </pic:nvPicPr>
                        <pic:blipFill>
                          <a:blip r:embed="rId11"/>
                          <a:stretch>
                            <a:fillRect/>
                          </a:stretch>
                        </pic:blipFill>
                        <pic:spPr>
                          <a:xfrm>
                            <a:off x="0" y="0"/>
                            <a:ext cx="2241550" cy="115316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2</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中层椅子</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编号，抽检</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0288" behindDoc="0" locked="0" layoutInCell="1" allowOverlap="1">
                  <wp:simplePos x="0" y="0"/>
                  <wp:positionH relativeFrom="column">
                    <wp:posOffset>316230</wp:posOffset>
                  </wp:positionH>
                  <wp:positionV relativeFrom="paragraph">
                    <wp:posOffset>36195</wp:posOffset>
                  </wp:positionV>
                  <wp:extent cx="956310" cy="1274445"/>
                  <wp:effectExtent l="0" t="0" r="15240" b="1905"/>
                  <wp:wrapNone/>
                  <wp:docPr id="3" name="图片_4"/>
                  <wp:cNvGraphicFramePr/>
                  <a:graphic xmlns:a="http://schemas.openxmlformats.org/drawingml/2006/main">
                    <a:graphicData uri="http://schemas.openxmlformats.org/drawingml/2006/picture">
                      <pic:pic xmlns:pic="http://schemas.openxmlformats.org/drawingml/2006/picture">
                        <pic:nvPicPr>
                          <pic:cNvPr id="3" name="图片_4"/>
                          <pic:cNvPicPr/>
                        </pic:nvPicPr>
                        <pic:blipFill>
                          <a:blip r:embed="rId12"/>
                          <a:stretch>
                            <a:fillRect/>
                          </a:stretch>
                        </pic:blipFill>
                        <pic:spPr>
                          <a:xfrm>
                            <a:off x="0" y="0"/>
                            <a:ext cx="956310" cy="12744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职员椅子（弓形）</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△按样品，编号，抽检</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1312" behindDoc="0" locked="0" layoutInCell="1" allowOverlap="1">
                  <wp:simplePos x="0" y="0"/>
                  <wp:positionH relativeFrom="column">
                    <wp:posOffset>390525</wp:posOffset>
                  </wp:positionH>
                  <wp:positionV relativeFrom="paragraph">
                    <wp:posOffset>136525</wp:posOffset>
                  </wp:positionV>
                  <wp:extent cx="908050" cy="1543685"/>
                  <wp:effectExtent l="0" t="0" r="6350" b="18415"/>
                  <wp:wrapNone/>
                  <wp:docPr id="6" name="图片_7"/>
                  <wp:cNvGraphicFramePr/>
                  <a:graphic xmlns:a="http://schemas.openxmlformats.org/drawingml/2006/main">
                    <a:graphicData uri="http://schemas.openxmlformats.org/drawingml/2006/picture">
                      <pic:pic xmlns:pic="http://schemas.openxmlformats.org/drawingml/2006/picture">
                        <pic:nvPicPr>
                          <pic:cNvPr id="6" name="图片_7"/>
                          <pic:cNvPicPr/>
                        </pic:nvPicPr>
                        <pic:blipFill>
                          <a:blip r:embed="rId13"/>
                          <a:stretch>
                            <a:fillRect/>
                          </a:stretch>
                        </pic:blipFill>
                        <pic:spPr>
                          <a:xfrm>
                            <a:off x="0" y="0"/>
                            <a:ext cx="908050" cy="15436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4</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调度椅子</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△按样品，编号，抽检</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2336" behindDoc="0" locked="0" layoutInCell="1" allowOverlap="1">
                  <wp:simplePos x="0" y="0"/>
                  <wp:positionH relativeFrom="column">
                    <wp:posOffset>247650</wp:posOffset>
                  </wp:positionH>
                  <wp:positionV relativeFrom="paragraph">
                    <wp:posOffset>66040</wp:posOffset>
                  </wp:positionV>
                  <wp:extent cx="991870" cy="1320800"/>
                  <wp:effectExtent l="0" t="0" r="17780" b="12700"/>
                  <wp:wrapNone/>
                  <wp:docPr id="19" name="图片_2"/>
                  <wp:cNvGraphicFramePr/>
                  <a:graphic xmlns:a="http://schemas.openxmlformats.org/drawingml/2006/main">
                    <a:graphicData uri="http://schemas.openxmlformats.org/drawingml/2006/picture">
                      <pic:pic xmlns:pic="http://schemas.openxmlformats.org/drawingml/2006/picture">
                        <pic:nvPicPr>
                          <pic:cNvPr id="19" name="图片_2"/>
                          <pic:cNvPicPr/>
                        </pic:nvPicPr>
                        <pic:blipFill>
                          <a:blip r:embed="rId14"/>
                          <a:stretch>
                            <a:fillRect/>
                          </a:stretch>
                        </pic:blipFill>
                        <pic:spPr>
                          <a:xfrm>
                            <a:off x="0" y="0"/>
                            <a:ext cx="991870" cy="13208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5</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钢制文件柜</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编号，抽检</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3360" behindDoc="0" locked="0" layoutInCell="1" allowOverlap="1">
                  <wp:simplePos x="0" y="0"/>
                  <wp:positionH relativeFrom="column">
                    <wp:posOffset>333375</wp:posOffset>
                  </wp:positionH>
                  <wp:positionV relativeFrom="paragraph">
                    <wp:posOffset>54610</wp:posOffset>
                  </wp:positionV>
                  <wp:extent cx="1069340" cy="1540510"/>
                  <wp:effectExtent l="0" t="0" r="16510" b="2540"/>
                  <wp:wrapNone/>
                  <wp:docPr id="12" name="Picture_143"/>
                  <wp:cNvGraphicFramePr/>
                  <a:graphic xmlns:a="http://schemas.openxmlformats.org/drawingml/2006/main">
                    <a:graphicData uri="http://schemas.openxmlformats.org/drawingml/2006/picture">
                      <pic:pic xmlns:pic="http://schemas.openxmlformats.org/drawingml/2006/picture">
                        <pic:nvPicPr>
                          <pic:cNvPr id="12" name="Picture_143"/>
                          <pic:cNvPicPr/>
                        </pic:nvPicPr>
                        <pic:blipFill>
                          <a:blip r:embed="rId15"/>
                          <a:stretch>
                            <a:fillRect/>
                          </a:stretch>
                        </pic:blipFill>
                        <pic:spPr>
                          <a:xfrm>
                            <a:off x="0" y="0"/>
                            <a:ext cx="1069340" cy="154051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6</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折叠椅子</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4384" behindDoc="0" locked="0" layoutInCell="1" allowOverlap="1">
                  <wp:simplePos x="0" y="0"/>
                  <wp:positionH relativeFrom="column">
                    <wp:posOffset>180975</wp:posOffset>
                  </wp:positionH>
                  <wp:positionV relativeFrom="paragraph">
                    <wp:posOffset>307975</wp:posOffset>
                  </wp:positionV>
                  <wp:extent cx="766445" cy="791845"/>
                  <wp:effectExtent l="0" t="0" r="14605" b="8255"/>
                  <wp:wrapNone/>
                  <wp:docPr id="7" name="图片_19"/>
                  <wp:cNvGraphicFramePr/>
                  <a:graphic xmlns:a="http://schemas.openxmlformats.org/drawingml/2006/main">
                    <a:graphicData uri="http://schemas.openxmlformats.org/drawingml/2006/picture">
                      <pic:pic xmlns:pic="http://schemas.openxmlformats.org/drawingml/2006/picture">
                        <pic:nvPicPr>
                          <pic:cNvPr id="7" name="图片_19"/>
                          <pic:cNvPicPr/>
                        </pic:nvPicPr>
                        <pic:blipFill>
                          <a:blip r:embed="rId16"/>
                          <a:stretch>
                            <a:fillRect/>
                          </a:stretch>
                        </pic:blipFill>
                        <pic:spPr>
                          <a:xfrm>
                            <a:off x="0" y="0"/>
                            <a:ext cx="766445" cy="791845"/>
                          </a:xfrm>
                          <a:prstGeom prst="rect">
                            <a:avLst/>
                          </a:prstGeom>
                          <a:noFill/>
                          <a:ln>
                            <a:noFill/>
                          </a:ln>
                        </pic:spPr>
                      </pic:pic>
                    </a:graphicData>
                  </a:graphic>
                </wp:anchor>
              </w:drawing>
            </w:r>
            <w:r>
              <w:rPr>
                <w:rFonts w:hint="eastAsia" w:ascii="宋体" w:hAnsi="宋体" w:cs="宋体"/>
                <w:color w:val="auto"/>
                <w:sz w:val="20"/>
                <w:szCs w:val="20"/>
                <w:highlight w:val="none"/>
              </w:rPr>
              <w:drawing>
                <wp:anchor distT="0" distB="0" distL="114300" distR="114300" simplePos="0" relativeHeight="251665408" behindDoc="0" locked="0" layoutInCell="1" allowOverlap="1">
                  <wp:simplePos x="0" y="0"/>
                  <wp:positionH relativeFrom="column">
                    <wp:posOffset>437515</wp:posOffset>
                  </wp:positionH>
                  <wp:positionV relativeFrom="paragraph">
                    <wp:posOffset>37465</wp:posOffset>
                  </wp:positionV>
                  <wp:extent cx="921385" cy="0"/>
                  <wp:effectExtent l="0" t="0" r="0" b="0"/>
                  <wp:wrapNone/>
                  <wp:docPr id="2" name="图片_19_SpCnt_1"/>
                  <wp:cNvGraphicFramePr/>
                  <a:graphic xmlns:a="http://schemas.openxmlformats.org/drawingml/2006/main">
                    <a:graphicData uri="http://schemas.openxmlformats.org/drawingml/2006/picture">
                      <pic:pic xmlns:pic="http://schemas.openxmlformats.org/drawingml/2006/picture">
                        <pic:nvPicPr>
                          <pic:cNvPr id="2" name="图片_19_SpCnt_1"/>
                          <pic:cNvPicPr/>
                        </pic:nvPicPr>
                        <pic:blipFill>
                          <a:blip r:embed="rId17"/>
                          <a:stretch>
                            <a:fillRect/>
                          </a:stretch>
                        </pic:blipFill>
                        <pic:spPr>
                          <a:xfrm>
                            <a:off x="0" y="0"/>
                            <a:ext cx="921385" cy="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7</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站厅传单展示架</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6432" behindDoc="0" locked="0" layoutInCell="1" allowOverlap="1">
                  <wp:simplePos x="0" y="0"/>
                  <wp:positionH relativeFrom="column">
                    <wp:posOffset>123825</wp:posOffset>
                  </wp:positionH>
                  <wp:positionV relativeFrom="paragraph">
                    <wp:posOffset>104775</wp:posOffset>
                  </wp:positionV>
                  <wp:extent cx="952500" cy="1222375"/>
                  <wp:effectExtent l="0" t="0" r="0" b="15875"/>
                  <wp:wrapNone/>
                  <wp:docPr id="18" name="图片_1_SpCnt_1"/>
                  <wp:cNvGraphicFramePr/>
                  <a:graphic xmlns:a="http://schemas.openxmlformats.org/drawingml/2006/main">
                    <a:graphicData uri="http://schemas.openxmlformats.org/drawingml/2006/picture">
                      <pic:pic xmlns:pic="http://schemas.openxmlformats.org/drawingml/2006/picture">
                        <pic:nvPicPr>
                          <pic:cNvPr id="18" name="图片_1_SpCnt_1"/>
                          <pic:cNvPicPr/>
                        </pic:nvPicPr>
                        <pic:blipFill>
                          <a:blip r:embed="rId18"/>
                          <a:stretch>
                            <a:fillRect/>
                          </a:stretch>
                        </pic:blipFill>
                        <pic:spPr>
                          <a:xfrm>
                            <a:off x="0" y="0"/>
                            <a:ext cx="952500" cy="12223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8</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塑料凳</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7456" behindDoc="0" locked="0" layoutInCell="1" allowOverlap="1">
                  <wp:simplePos x="0" y="0"/>
                  <wp:positionH relativeFrom="column">
                    <wp:posOffset>316230</wp:posOffset>
                  </wp:positionH>
                  <wp:positionV relativeFrom="paragraph">
                    <wp:posOffset>31115</wp:posOffset>
                  </wp:positionV>
                  <wp:extent cx="929640" cy="1094740"/>
                  <wp:effectExtent l="0" t="0" r="3810" b="10160"/>
                  <wp:wrapNone/>
                  <wp:docPr id="20" name="图片_31"/>
                  <wp:cNvGraphicFramePr/>
                  <a:graphic xmlns:a="http://schemas.openxmlformats.org/drawingml/2006/main">
                    <a:graphicData uri="http://schemas.openxmlformats.org/drawingml/2006/picture">
                      <pic:pic xmlns:pic="http://schemas.openxmlformats.org/drawingml/2006/picture">
                        <pic:nvPicPr>
                          <pic:cNvPr id="20" name="图片_31"/>
                          <pic:cNvPicPr/>
                        </pic:nvPicPr>
                        <pic:blipFill>
                          <a:blip r:embed="rId19"/>
                          <a:stretch>
                            <a:fillRect/>
                          </a:stretch>
                        </pic:blipFill>
                        <pic:spPr>
                          <a:xfrm>
                            <a:off x="0" y="0"/>
                            <a:ext cx="929640" cy="109474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9</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玻璃文件柜</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8480" behindDoc="0" locked="0" layoutInCell="1" allowOverlap="1">
                  <wp:simplePos x="0" y="0"/>
                  <wp:positionH relativeFrom="column">
                    <wp:posOffset>337820</wp:posOffset>
                  </wp:positionH>
                  <wp:positionV relativeFrom="paragraph">
                    <wp:posOffset>91440</wp:posOffset>
                  </wp:positionV>
                  <wp:extent cx="1139190" cy="1673860"/>
                  <wp:effectExtent l="0" t="0" r="3810" b="2540"/>
                  <wp:wrapNone/>
                  <wp:docPr id="4" name="图片_225"/>
                  <wp:cNvGraphicFramePr/>
                  <a:graphic xmlns:a="http://schemas.openxmlformats.org/drawingml/2006/main">
                    <a:graphicData uri="http://schemas.openxmlformats.org/drawingml/2006/picture">
                      <pic:pic xmlns:pic="http://schemas.openxmlformats.org/drawingml/2006/picture">
                        <pic:nvPicPr>
                          <pic:cNvPr id="4" name="图片_225"/>
                          <pic:cNvPicPr/>
                        </pic:nvPicPr>
                        <pic:blipFill>
                          <a:blip r:embed="rId20"/>
                          <a:stretch>
                            <a:fillRect/>
                          </a:stretch>
                        </pic:blipFill>
                        <pic:spPr>
                          <a:xfrm>
                            <a:off x="0" y="0"/>
                            <a:ext cx="1139190" cy="167386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钢材椅</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编号，抽检</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9504" behindDoc="0" locked="0" layoutInCell="1" allowOverlap="1">
                  <wp:simplePos x="0" y="0"/>
                  <wp:positionH relativeFrom="column">
                    <wp:posOffset>400050</wp:posOffset>
                  </wp:positionH>
                  <wp:positionV relativeFrom="paragraph">
                    <wp:posOffset>52705</wp:posOffset>
                  </wp:positionV>
                  <wp:extent cx="1060450" cy="1712595"/>
                  <wp:effectExtent l="0" t="0" r="6350" b="1905"/>
                  <wp:wrapNone/>
                  <wp:docPr id="9" name="图片_256"/>
                  <wp:cNvGraphicFramePr/>
                  <a:graphic xmlns:a="http://schemas.openxmlformats.org/drawingml/2006/main">
                    <a:graphicData uri="http://schemas.openxmlformats.org/drawingml/2006/picture">
                      <pic:pic xmlns:pic="http://schemas.openxmlformats.org/drawingml/2006/picture">
                        <pic:nvPicPr>
                          <pic:cNvPr id="9" name="图片_256"/>
                          <pic:cNvPicPr/>
                        </pic:nvPicPr>
                        <pic:blipFill>
                          <a:blip r:embed="rId21"/>
                          <a:stretch>
                            <a:fillRect/>
                          </a:stretch>
                        </pic:blipFill>
                        <pic:spPr>
                          <a:xfrm>
                            <a:off x="0" y="0"/>
                            <a:ext cx="1060450" cy="171259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11</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床头柜</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drawing>
                <wp:anchor distT="0" distB="0" distL="114300" distR="114300" simplePos="0" relativeHeight="251669504" behindDoc="0" locked="0" layoutInCell="1" allowOverlap="1">
                  <wp:simplePos x="0" y="0"/>
                  <wp:positionH relativeFrom="column">
                    <wp:posOffset>275590</wp:posOffset>
                  </wp:positionH>
                  <wp:positionV relativeFrom="paragraph">
                    <wp:posOffset>108585</wp:posOffset>
                  </wp:positionV>
                  <wp:extent cx="1313180" cy="1499870"/>
                  <wp:effectExtent l="0" t="0" r="1270" b="5080"/>
                  <wp:wrapNone/>
                  <wp:docPr id="8" name="图片_46"/>
                  <wp:cNvGraphicFramePr/>
                  <a:graphic xmlns:a="http://schemas.openxmlformats.org/drawingml/2006/main">
                    <a:graphicData uri="http://schemas.openxmlformats.org/drawingml/2006/picture">
                      <pic:pic xmlns:pic="http://schemas.openxmlformats.org/drawingml/2006/picture">
                        <pic:nvPicPr>
                          <pic:cNvPr id="8" name="图片_46"/>
                          <pic:cNvPicPr/>
                        </pic:nvPicPr>
                        <pic:blipFill>
                          <a:blip r:embed="rId22"/>
                          <a:stretch>
                            <a:fillRect/>
                          </a:stretch>
                        </pic:blipFill>
                        <pic:spPr>
                          <a:xfrm>
                            <a:off x="0" y="0"/>
                            <a:ext cx="1313180" cy="1499870"/>
                          </a:xfrm>
                          <a:prstGeom prst="rect">
                            <a:avLst/>
                          </a:prstGeom>
                          <a:noFill/>
                          <a:ln>
                            <a:noFill/>
                          </a:ln>
                        </pic:spPr>
                      </pic:pic>
                    </a:graphicData>
                  </a:graphic>
                </wp:anchor>
              </w:drawing>
            </w:r>
          </w:p>
        </w:tc>
      </w:tr>
      <w:tr>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12</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卷帘</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sz w:val="20"/>
                <w:szCs w:val="20"/>
                <w:highlight w:val="none"/>
              </w:rPr>
              <w:drawing>
                <wp:anchor distT="0" distB="0" distL="114300" distR="114300" simplePos="0" relativeHeight="251670528" behindDoc="0" locked="0" layoutInCell="1" allowOverlap="1">
                  <wp:simplePos x="0" y="0"/>
                  <wp:positionH relativeFrom="column">
                    <wp:posOffset>85725</wp:posOffset>
                  </wp:positionH>
                  <wp:positionV relativeFrom="paragraph">
                    <wp:posOffset>295275</wp:posOffset>
                  </wp:positionV>
                  <wp:extent cx="1320165" cy="1124585"/>
                  <wp:effectExtent l="0" t="0" r="13335" b="18415"/>
                  <wp:wrapNone/>
                  <wp:docPr id="10" name="图片_3"/>
                  <wp:cNvGraphicFramePr/>
                  <a:graphic xmlns:a="http://schemas.openxmlformats.org/drawingml/2006/main">
                    <a:graphicData uri="http://schemas.openxmlformats.org/drawingml/2006/picture">
                      <pic:pic xmlns:pic="http://schemas.openxmlformats.org/drawingml/2006/picture">
                        <pic:nvPicPr>
                          <pic:cNvPr id="10" name="图片_3"/>
                          <pic:cNvPicPr/>
                        </pic:nvPicPr>
                        <pic:blipFill>
                          <a:blip r:embed="rId23"/>
                          <a:stretch>
                            <a:fillRect/>
                          </a:stretch>
                        </pic:blipFill>
                        <pic:spPr>
                          <a:xfrm>
                            <a:off x="0" y="0"/>
                            <a:ext cx="1320165" cy="11245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报刊架</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vAlign w:val="center"/>
          </w:tcPr>
          <w:p>
            <w:pPr>
              <w:jc w:val="left"/>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sz w:val="20"/>
                <w:szCs w:val="20"/>
                <w:highlight w:val="none"/>
              </w:rPr>
              <w:drawing>
                <wp:anchor distT="0" distB="0" distL="114300" distR="114300" simplePos="0" relativeHeight="251671552" behindDoc="0" locked="0" layoutInCell="1" allowOverlap="1">
                  <wp:simplePos x="0" y="0"/>
                  <wp:positionH relativeFrom="column">
                    <wp:posOffset>247650</wp:posOffset>
                  </wp:positionH>
                  <wp:positionV relativeFrom="paragraph">
                    <wp:posOffset>365125</wp:posOffset>
                  </wp:positionV>
                  <wp:extent cx="994410" cy="1202055"/>
                  <wp:effectExtent l="0" t="0" r="15240" b="17145"/>
                  <wp:wrapNone/>
                  <wp:docPr id="13" name="图片_20"/>
                  <wp:cNvGraphicFramePr/>
                  <a:graphic xmlns:a="http://schemas.openxmlformats.org/drawingml/2006/main">
                    <a:graphicData uri="http://schemas.openxmlformats.org/drawingml/2006/picture">
                      <pic:pic xmlns:pic="http://schemas.openxmlformats.org/drawingml/2006/picture">
                        <pic:nvPicPr>
                          <pic:cNvPr id="13" name="图片_20"/>
                          <pic:cNvPicPr/>
                        </pic:nvPicPr>
                        <pic:blipFill>
                          <a:blip r:embed="rId24"/>
                          <a:stretch>
                            <a:fillRect/>
                          </a:stretch>
                        </pic:blipFill>
                        <pic:spPr>
                          <a:xfrm>
                            <a:off x="0" y="0"/>
                            <a:ext cx="994410" cy="120205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14</w:t>
            </w:r>
          </w:p>
        </w:tc>
        <w:tc>
          <w:tcPr>
            <w:tcW w:w="0" w:type="auto"/>
            <w:tcBorders>
              <w:top w:val="single" w:color="000000" w:sz="4" w:space="0"/>
              <w:left w:val="nil"/>
              <w:bottom w:val="nil"/>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屏风</w:t>
            </w:r>
          </w:p>
        </w:tc>
        <w:tc>
          <w:tcPr>
            <w:tcW w:w="1800" w:type="dxa"/>
            <w:tcBorders>
              <w:top w:val="single" w:color="000000" w:sz="4" w:space="0"/>
              <w:left w:val="nil"/>
              <w:bottom w:val="nil"/>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nil"/>
              <w:right w:val="single" w:color="000000" w:sz="4" w:space="0"/>
            </w:tcBorders>
            <w:shd w:val="clear" w:color="auto" w:fill="auto"/>
          </w:tcPr>
          <w:p>
            <w:pPr>
              <w:jc w:val="left"/>
              <w:textAlignment w:val="top"/>
              <w:rPr>
                <w:rFonts w:ascii="新宋体" w:hAnsi="新宋体" w:eastAsia="新宋体" w:cs="新宋体"/>
                <w:color w:val="auto"/>
                <w:sz w:val="20"/>
                <w:szCs w:val="20"/>
                <w:highlight w:val="none"/>
              </w:rPr>
            </w:pPr>
            <w:r>
              <w:rPr>
                <w:rFonts w:hint="eastAsia" w:ascii="新宋体" w:hAnsi="新宋体" w:eastAsia="新宋体" w:cs="新宋体"/>
                <w:color w:val="auto"/>
                <w:sz w:val="20"/>
                <w:szCs w:val="20"/>
                <w:highlight w:val="none"/>
              </w:rPr>
              <w:drawing>
                <wp:anchor distT="0" distB="0" distL="114300" distR="114300" simplePos="0" relativeHeight="251672576" behindDoc="0" locked="0" layoutInCell="1" allowOverlap="1">
                  <wp:simplePos x="0" y="0"/>
                  <wp:positionH relativeFrom="column">
                    <wp:posOffset>128270</wp:posOffset>
                  </wp:positionH>
                  <wp:positionV relativeFrom="paragraph">
                    <wp:posOffset>128905</wp:posOffset>
                  </wp:positionV>
                  <wp:extent cx="1042670" cy="1187450"/>
                  <wp:effectExtent l="0" t="0" r="5080" b="12700"/>
                  <wp:wrapNone/>
                  <wp:docPr id="11" name="图片_3_SpCnt_1"/>
                  <wp:cNvGraphicFramePr/>
                  <a:graphic xmlns:a="http://schemas.openxmlformats.org/drawingml/2006/main">
                    <a:graphicData uri="http://schemas.openxmlformats.org/drawingml/2006/picture">
                      <pic:pic xmlns:pic="http://schemas.openxmlformats.org/drawingml/2006/picture">
                        <pic:nvPicPr>
                          <pic:cNvPr id="11" name="图片_3_SpCnt_1"/>
                          <pic:cNvPicPr/>
                        </pic:nvPicPr>
                        <pic:blipFill>
                          <a:blip r:embed="rId25"/>
                          <a:stretch>
                            <a:fillRect/>
                          </a:stretch>
                        </pic:blipFill>
                        <pic:spPr>
                          <a:xfrm>
                            <a:off x="0" y="0"/>
                            <a:ext cx="1042670" cy="11874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15</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办公地柜</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3840" w:type="dxa"/>
            <w:tcBorders>
              <w:top w:val="single" w:color="000000" w:sz="4" w:space="0"/>
              <w:left w:val="nil"/>
              <w:bottom w:val="single" w:color="000000" w:sz="4" w:space="0"/>
              <w:right w:val="single" w:color="000000" w:sz="4" w:space="0"/>
            </w:tcBorders>
            <w:shd w:val="clear" w:color="auto" w:fill="auto"/>
          </w:tcPr>
          <w:p>
            <w:pPr>
              <w:jc w:val="left"/>
              <w:textAlignment w:val="top"/>
              <w:rPr>
                <w:rFonts w:ascii="新宋体" w:hAnsi="新宋体" w:eastAsia="新宋体" w:cs="新宋体"/>
                <w:color w:val="auto"/>
                <w:sz w:val="20"/>
                <w:szCs w:val="20"/>
                <w:highlight w:val="none"/>
              </w:rPr>
            </w:pPr>
            <w:r>
              <w:rPr>
                <w:rFonts w:hint="eastAsia" w:ascii="新宋体" w:hAnsi="新宋体" w:eastAsia="新宋体" w:cs="新宋体"/>
                <w:color w:val="auto"/>
                <w:sz w:val="20"/>
                <w:szCs w:val="20"/>
                <w:highlight w:val="none"/>
              </w:rPr>
              <w:drawing>
                <wp:anchor distT="0" distB="0" distL="114300" distR="114300" simplePos="0" relativeHeight="251673600" behindDoc="0" locked="0" layoutInCell="1" allowOverlap="1">
                  <wp:simplePos x="0" y="0"/>
                  <wp:positionH relativeFrom="column">
                    <wp:posOffset>10795</wp:posOffset>
                  </wp:positionH>
                  <wp:positionV relativeFrom="paragraph">
                    <wp:posOffset>6350</wp:posOffset>
                  </wp:positionV>
                  <wp:extent cx="1454150" cy="1193165"/>
                  <wp:effectExtent l="0" t="0" r="12700" b="6985"/>
                  <wp:wrapNone/>
                  <wp:docPr id="17" name="图片_1_SpCnt_2"/>
                  <wp:cNvGraphicFramePr/>
                  <a:graphic xmlns:a="http://schemas.openxmlformats.org/drawingml/2006/main">
                    <a:graphicData uri="http://schemas.openxmlformats.org/drawingml/2006/picture">
                      <pic:pic xmlns:pic="http://schemas.openxmlformats.org/drawingml/2006/picture">
                        <pic:nvPicPr>
                          <pic:cNvPr id="17" name="图片_1_SpCnt_2"/>
                          <pic:cNvPicPr/>
                        </pic:nvPicPr>
                        <pic:blipFill>
                          <a:blip r:embed="rId26"/>
                          <a:stretch>
                            <a:fillRect/>
                          </a:stretch>
                        </pic:blipFill>
                        <pic:spPr>
                          <a:xfrm>
                            <a:off x="0" y="0"/>
                            <a:ext cx="1454150" cy="119316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16</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 xml:space="preserve">密码文件柜 </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drawing>
                <wp:anchor distT="0" distB="0" distL="114300" distR="114300" simplePos="0" relativeHeight="251674624" behindDoc="0" locked="0" layoutInCell="1" allowOverlap="1">
                  <wp:simplePos x="0" y="0"/>
                  <wp:positionH relativeFrom="column">
                    <wp:posOffset>8890</wp:posOffset>
                  </wp:positionH>
                  <wp:positionV relativeFrom="paragraph">
                    <wp:posOffset>6985</wp:posOffset>
                  </wp:positionV>
                  <wp:extent cx="1703705" cy="1520190"/>
                  <wp:effectExtent l="0" t="0" r="10795" b="3810"/>
                  <wp:wrapNone/>
                  <wp:docPr id="14" name="图片_1_SpCnt_3"/>
                  <wp:cNvGraphicFramePr/>
                  <a:graphic xmlns:a="http://schemas.openxmlformats.org/drawingml/2006/main">
                    <a:graphicData uri="http://schemas.openxmlformats.org/drawingml/2006/picture">
                      <pic:pic xmlns:pic="http://schemas.openxmlformats.org/drawingml/2006/picture">
                        <pic:nvPicPr>
                          <pic:cNvPr id="14" name="图片_1_SpCnt_3"/>
                          <pic:cNvPicPr/>
                        </pic:nvPicPr>
                        <pic:blipFill>
                          <a:blip r:embed="rId27"/>
                          <a:stretch>
                            <a:fillRect/>
                          </a:stretch>
                        </pic:blipFill>
                        <pic:spPr>
                          <a:xfrm>
                            <a:off x="0" y="0"/>
                            <a:ext cx="1703705" cy="152019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17</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卡座</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drawing>
                <wp:anchor distT="0" distB="0" distL="114300" distR="114300" simplePos="0" relativeHeight="251675648" behindDoc="0" locked="0" layoutInCell="1" allowOverlap="1">
                  <wp:simplePos x="0" y="0"/>
                  <wp:positionH relativeFrom="column">
                    <wp:posOffset>159385</wp:posOffset>
                  </wp:positionH>
                  <wp:positionV relativeFrom="paragraph">
                    <wp:posOffset>37465</wp:posOffset>
                  </wp:positionV>
                  <wp:extent cx="1842135" cy="1378585"/>
                  <wp:effectExtent l="0" t="0" r="5715" b="12065"/>
                  <wp:wrapNone/>
                  <wp:docPr id="15" name="图片_1_SpCnt_4"/>
                  <wp:cNvGraphicFramePr/>
                  <a:graphic xmlns:a="http://schemas.openxmlformats.org/drawingml/2006/main">
                    <a:graphicData uri="http://schemas.openxmlformats.org/drawingml/2006/picture">
                      <pic:pic xmlns:pic="http://schemas.openxmlformats.org/drawingml/2006/picture">
                        <pic:nvPicPr>
                          <pic:cNvPr id="15" name="图片_1_SpCnt_4"/>
                          <pic:cNvPicPr/>
                        </pic:nvPicPr>
                        <pic:blipFill>
                          <a:blip r:embed="rId28"/>
                          <a:stretch>
                            <a:fillRect/>
                          </a:stretch>
                        </pic:blipFill>
                        <pic:spPr>
                          <a:xfrm>
                            <a:off x="0" y="0"/>
                            <a:ext cx="1842135" cy="13785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18</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职员椅</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drawing>
                <wp:anchor distT="0" distB="0" distL="114300" distR="114300" simplePos="0" relativeHeight="251676672" behindDoc="0" locked="0" layoutInCell="1" allowOverlap="1">
                  <wp:simplePos x="0" y="0"/>
                  <wp:positionH relativeFrom="column">
                    <wp:posOffset>8890</wp:posOffset>
                  </wp:positionH>
                  <wp:positionV relativeFrom="paragraph">
                    <wp:posOffset>8890</wp:posOffset>
                  </wp:positionV>
                  <wp:extent cx="1100455" cy="1466850"/>
                  <wp:effectExtent l="0" t="0" r="4445" b="0"/>
                  <wp:wrapNone/>
                  <wp:docPr id="21" name="图片_2_SpCnt_1"/>
                  <wp:cNvGraphicFramePr/>
                  <a:graphic xmlns:a="http://schemas.openxmlformats.org/drawingml/2006/main">
                    <a:graphicData uri="http://schemas.openxmlformats.org/drawingml/2006/picture">
                      <pic:pic xmlns:pic="http://schemas.openxmlformats.org/drawingml/2006/picture">
                        <pic:nvPicPr>
                          <pic:cNvPr id="21" name="图片_2_SpCnt_1"/>
                          <pic:cNvPicPr/>
                        </pic:nvPicPr>
                        <pic:blipFill>
                          <a:blip r:embed="rId29"/>
                          <a:stretch>
                            <a:fillRect/>
                          </a:stretch>
                        </pic:blipFill>
                        <pic:spPr>
                          <a:xfrm>
                            <a:off x="0" y="0"/>
                            <a:ext cx="1100455" cy="14668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19</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会议桌</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lang w:bidi="ar"/>
              </w:rPr>
              <w:t>编号</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drawing>
                <wp:anchor distT="0" distB="0" distL="114300" distR="114300" simplePos="0" relativeHeight="251677696" behindDoc="0" locked="0" layoutInCell="1" allowOverlap="1">
                  <wp:simplePos x="0" y="0"/>
                  <wp:positionH relativeFrom="column">
                    <wp:posOffset>8890</wp:posOffset>
                  </wp:positionH>
                  <wp:positionV relativeFrom="paragraph">
                    <wp:posOffset>5715</wp:posOffset>
                  </wp:positionV>
                  <wp:extent cx="1060450" cy="1410970"/>
                  <wp:effectExtent l="0" t="0" r="6350" b="17780"/>
                  <wp:wrapNone/>
                  <wp:docPr id="16" name="图片_3_SpCnt_2"/>
                  <wp:cNvGraphicFramePr/>
                  <a:graphic xmlns:a="http://schemas.openxmlformats.org/drawingml/2006/main">
                    <a:graphicData uri="http://schemas.openxmlformats.org/drawingml/2006/picture">
                      <pic:pic xmlns:pic="http://schemas.openxmlformats.org/drawingml/2006/picture">
                        <pic:nvPicPr>
                          <pic:cNvPr id="16" name="图片_3_SpCnt_2"/>
                          <pic:cNvPicPr/>
                        </pic:nvPicPr>
                        <pic:blipFill>
                          <a:blip r:embed="rId30"/>
                          <a:stretch>
                            <a:fillRect/>
                          </a:stretch>
                        </pic:blipFill>
                        <pic:spPr>
                          <a:xfrm>
                            <a:off x="0" y="0"/>
                            <a:ext cx="1060450" cy="1410970"/>
                          </a:xfrm>
                          <a:prstGeom prst="rect">
                            <a:avLst/>
                          </a:prstGeom>
                          <a:noFill/>
                          <a:ln>
                            <a:noFill/>
                          </a:ln>
                        </pic:spPr>
                      </pic:pic>
                    </a:graphicData>
                  </a:graphic>
                </wp:anchor>
              </w:drawing>
            </w:r>
          </w:p>
        </w:tc>
      </w:tr>
    </w:tbl>
    <w:p>
      <w:pPr>
        <w:pStyle w:val="3"/>
        <w:spacing w:after="0" w:line="360" w:lineRule="auto"/>
        <w:ind w:right="-57" w:firstLine="0"/>
        <w:rPr>
          <w:color w:val="auto"/>
          <w:sz w:val="21"/>
          <w:szCs w:val="21"/>
          <w:highlight w:val="none"/>
        </w:rPr>
      </w:pPr>
      <w:bookmarkStart w:id="260" w:name="_Toc27271"/>
      <w:bookmarkStart w:id="261" w:name="_Toc9730"/>
      <w:bookmarkStart w:id="262" w:name="_Toc29923"/>
      <w:bookmarkStart w:id="263" w:name="_Toc25750694"/>
      <w:bookmarkStart w:id="264" w:name="_Toc9588"/>
      <w:bookmarkStart w:id="265" w:name="_Toc9189"/>
      <w:bookmarkStart w:id="266" w:name="_Toc23314"/>
      <w:bookmarkStart w:id="267" w:name="_Toc27798"/>
      <w:bookmarkStart w:id="268" w:name="_Toc16364"/>
      <w:bookmarkStart w:id="269" w:name="_Toc28404"/>
      <w:bookmarkStart w:id="270" w:name="_Toc29245"/>
      <w:bookmarkStart w:id="271" w:name="_Toc414290583"/>
      <w:bookmarkStart w:id="272" w:name="_Toc22464"/>
      <w:bookmarkStart w:id="273" w:name="_Toc18096"/>
      <w:bookmarkStart w:id="274" w:name="_Toc31611"/>
      <w:bookmarkStart w:id="275" w:name="_Toc10968"/>
      <w:bookmarkStart w:id="276" w:name="_Toc19557"/>
      <w:bookmarkStart w:id="277" w:name="_Toc492478849"/>
      <w:bookmarkStart w:id="278" w:name="_Toc434"/>
      <w:bookmarkStart w:id="279" w:name="_Toc15073"/>
      <w:bookmarkStart w:id="280" w:name="_Toc15224"/>
      <w:r>
        <w:rPr>
          <w:rFonts w:hint="eastAsia"/>
          <w:color w:val="auto"/>
          <w:sz w:val="21"/>
          <w:szCs w:val="21"/>
          <w:highlight w:val="none"/>
        </w:rPr>
        <w:t>附表一 资格审查表</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napToGrid w:val="0"/>
        <w:spacing w:before="0" w:line="360" w:lineRule="exact"/>
        <w:ind w:left="420" w:right="240" w:firstLine="0"/>
        <w:jc w:val="center"/>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3016"/>
        <w:gridCol w:w="1383"/>
        <w:gridCol w:w="947"/>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项目内容</w:t>
            </w:r>
          </w:p>
        </w:tc>
        <w:tc>
          <w:tcPr>
            <w:tcW w:w="3016" w:type="dxa"/>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合格条件标准</w:t>
            </w:r>
          </w:p>
        </w:tc>
        <w:tc>
          <w:tcPr>
            <w:tcW w:w="1383" w:type="dxa"/>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评审依据</w:t>
            </w:r>
          </w:p>
        </w:tc>
        <w:tc>
          <w:tcPr>
            <w:tcW w:w="947" w:type="dxa"/>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评审结果（合格/不合格）</w:t>
            </w:r>
          </w:p>
        </w:tc>
        <w:tc>
          <w:tcPr>
            <w:tcW w:w="2401" w:type="dxa"/>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1</w:t>
            </w:r>
          </w:p>
        </w:tc>
        <w:tc>
          <w:tcPr>
            <w:tcW w:w="1076"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身份证明材料</w:t>
            </w:r>
          </w:p>
        </w:tc>
        <w:tc>
          <w:tcPr>
            <w:tcW w:w="3016"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法定代表人授权书及法定代表人资格证明书（如无授权时，只需提供法定代表人资格证明书）、法定代表人及被授权人身份证复印件。</w:t>
            </w:r>
          </w:p>
        </w:tc>
        <w:tc>
          <w:tcPr>
            <w:tcW w:w="1383"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法定代表人授权书，法定代表人资格证明书和身份证复印件</w:t>
            </w:r>
          </w:p>
        </w:tc>
        <w:tc>
          <w:tcPr>
            <w:tcW w:w="947" w:type="dxa"/>
            <w:vAlign w:val="center"/>
          </w:tcPr>
          <w:p>
            <w:pPr>
              <w:spacing w:before="0" w:after="0" w:afterAutospacing="0"/>
              <w:ind w:left="0" w:right="0" w:firstLine="0"/>
              <w:rPr>
                <w:rFonts w:ascii="宋体" w:hAnsi="宋体" w:cs="宋体"/>
                <w:color w:val="auto"/>
                <w:highlight w:val="none"/>
              </w:rPr>
            </w:pPr>
          </w:p>
        </w:tc>
        <w:tc>
          <w:tcPr>
            <w:tcW w:w="2401"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2</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比选申请人资格</w:t>
            </w:r>
          </w:p>
        </w:tc>
        <w:tc>
          <w:tcPr>
            <w:tcW w:w="301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比选申请人为中华人民共和国境内依法设立的法人或其他组织（若以分公司名义参与比选申请，必须出具总公司授权参与的证明。），经营范围至少包括下列范围之一：</w:t>
            </w:r>
            <w:r>
              <w:rPr>
                <w:rFonts w:hint="eastAsia" w:ascii="宋体" w:hAnsi="宋体" w:cs="宋体"/>
                <w:color w:val="auto"/>
                <w:highlight w:val="none"/>
              </w:rPr>
              <w:t>①</w:t>
            </w:r>
            <w:r>
              <w:rPr>
                <w:color w:val="auto"/>
                <w:highlight w:val="none"/>
              </w:rPr>
              <w:t>办公家具，</w:t>
            </w:r>
            <w:r>
              <w:rPr>
                <w:rFonts w:hint="eastAsia" w:ascii="宋体" w:hAnsi="宋体" w:cs="宋体"/>
                <w:color w:val="auto"/>
                <w:highlight w:val="none"/>
              </w:rPr>
              <w:t>②</w:t>
            </w:r>
            <w:r>
              <w:rPr>
                <w:color w:val="auto"/>
                <w:highlight w:val="none"/>
              </w:rPr>
              <w:t>办公用品销售，</w:t>
            </w:r>
            <w:r>
              <w:rPr>
                <w:rFonts w:hint="eastAsia" w:ascii="宋体" w:hAnsi="宋体" w:cs="宋体"/>
                <w:color w:val="auto"/>
                <w:highlight w:val="none"/>
              </w:rPr>
              <w:t>③</w:t>
            </w:r>
            <w:r>
              <w:rPr>
                <w:color w:val="auto"/>
                <w:highlight w:val="none"/>
              </w:rPr>
              <w:t>家具销售</w:t>
            </w:r>
            <w:r>
              <w:rPr>
                <w:rFonts w:hint="eastAsia"/>
                <w:color w:val="auto"/>
                <w:highlight w:val="none"/>
              </w:rPr>
              <w:t>等</w:t>
            </w:r>
            <w:r>
              <w:rPr>
                <w:rFonts w:hint="eastAsia" w:ascii="宋体" w:hAnsi="宋体"/>
                <w:color w:val="auto"/>
                <w:highlight w:val="none"/>
              </w:rPr>
              <w:t>类似经营范围。</w:t>
            </w:r>
          </w:p>
        </w:tc>
        <w:tc>
          <w:tcPr>
            <w:tcW w:w="138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947"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s="宋体"/>
                <w:color w:val="auto"/>
                <w:highlight w:val="none"/>
              </w:rPr>
            </w:pPr>
            <w:r>
              <w:rPr>
                <w:rFonts w:ascii="宋体" w:hAnsi="宋体" w:cs="宋体"/>
                <w:color w:val="auto"/>
                <w:highlight w:val="none"/>
              </w:rPr>
              <w:t>3</w:t>
            </w:r>
          </w:p>
        </w:tc>
        <w:tc>
          <w:tcPr>
            <w:tcW w:w="1076"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承诺函</w:t>
            </w:r>
          </w:p>
        </w:tc>
        <w:tc>
          <w:tcPr>
            <w:tcW w:w="3016"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比选申请人没有处于行政主管部门或业主取消比选申请资格的处罚期内，且没有被责令停业，财产被接管、破产状态；比选申请截止日前3年内没有骗取中选、严重违约或重大质量安全责任事故的情况。</w:t>
            </w:r>
          </w:p>
        </w:tc>
        <w:tc>
          <w:tcPr>
            <w:tcW w:w="1383"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承诺函原件</w:t>
            </w:r>
          </w:p>
        </w:tc>
        <w:tc>
          <w:tcPr>
            <w:tcW w:w="947" w:type="dxa"/>
            <w:vAlign w:val="center"/>
          </w:tcPr>
          <w:p>
            <w:pPr>
              <w:spacing w:before="0" w:after="0" w:afterAutospacing="0"/>
              <w:ind w:left="0" w:right="0" w:firstLine="0"/>
              <w:rPr>
                <w:rFonts w:ascii="宋体" w:hAnsi="宋体" w:cs="宋体"/>
                <w:color w:val="auto"/>
                <w:highlight w:val="none"/>
              </w:rPr>
            </w:pPr>
          </w:p>
        </w:tc>
        <w:tc>
          <w:tcPr>
            <w:tcW w:w="2401" w:type="dxa"/>
            <w:vAlign w:val="center"/>
          </w:tcPr>
          <w:p>
            <w:pPr>
              <w:spacing w:before="0" w:after="0" w:afterAutospacing="0"/>
              <w:ind w:left="0" w:right="0" w:firstLine="0"/>
              <w:rPr>
                <w:rFonts w:ascii="宋体" w:hAnsi="宋体" w:cs="宋体"/>
                <w:color w:val="auto"/>
                <w:highlight w:val="none"/>
              </w:rPr>
            </w:pPr>
            <w:r>
              <w:rPr>
                <w:rFonts w:hint="eastAsia" w:ascii="宋体" w:hAnsi="宋体" w:cs="宋体"/>
                <w:color w:val="auto"/>
                <w:highlight w:val="none"/>
              </w:rPr>
              <w:t>按规定格式提供承诺书</w:t>
            </w:r>
          </w:p>
        </w:tc>
      </w:tr>
    </w:tbl>
    <w:p>
      <w:pPr>
        <w:snapToGrid w:val="0"/>
        <w:spacing w:before="0" w:after="0" w:afterAutospacing="0" w:line="240" w:lineRule="auto"/>
        <w:ind w:left="0" w:right="0" w:firstLine="0"/>
        <w:rPr>
          <w:rFonts w:ascii="宋体" w:hAnsi="宋体"/>
          <w:b/>
          <w:color w:val="auto"/>
          <w:highlight w:val="none"/>
        </w:rPr>
      </w:pP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w:t>
      </w:r>
    </w:p>
    <w:p>
      <w:pPr>
        <w:snapToGrid w:val="0"/>
        <w:spacing w:before="0" w:after="0" w:afterAutospacing="0" w:line="240" w:lineRule="auto"/>
        <w:ind w:left="0" w:right="0" w:firstLine="0"/>
        <w:outlineLvl w:val="3"/>
        <w:rPr>
          <w:rFonts w:ascii="宋体" w:hAnsi="宋体"/>
          <w:b/>
          <w:color w:val="auto"/>
          <w:highlight w:val="none"/>
        </w:rPr>
      </w:pPr>
      <w:r>
        <w:rPr>
          <w:rFonts w:hint="eastAsia" w:ascii="宋体" w:hAnsi="宋体"/>
          <w:b/>
          <w:color w:val="auto"/>
          <w:highlight w:val="none"/>
        </w:rPr>
        <w:t>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3"/>
        <w:spacing w:after="0" w:line="360" w:lineRule="auto"/>
        <w:ind w:right="-57" w:firstLine="0"/>
        <w:rPr>
          <w:color w:val="auto"/>
          <w:sz w:val="24"/>
          <w:szCs w:val="24"/>
          <w:highlight w:val="none"/>
        </w:rPr>
      </w:pPr>
      <w:r>
        <w:rPr>
          <w:rFonts w:ascii="宋体" w:hAnsi="宋体"/>
          <w:color w:val="auto"/>
          <w:highlight w:val="none"/>
        </w:rPr>
        <w:br w:type="page"/>
      </w:r>
      <w:bookmarkStart w:id="281" w:name="_Toc30699"/>
      <w:bookmarkStart w:id="282" w:name="_Toc25750695"/>
      <w:bookmarkStart w:id="283" w:name="_Toc15103"/>
      <w:bookmarkStart w:id="284" w:name="_Toc20215"/>
      <w:bookmarkStart w:id="285" w:name="_Toc8945"/>
      <w:bookmarkStart w:id="286" w:name="_Toc7852"/>
      <w:bookmarkStart w:id="287" w:name="_Toc22635"/>
      <w:bookmarkStart w:id="288" w:name="_Toc25123"/>
      <w:bookmarkStart w:id="289" w:name="_Toc29670"/>
      <w:bookmarkStart w:id="290" w:name="_Toc5737"/>
      <w:bookmarkStart w:id="291" w:name="_Toc492478850"/>
      <w:bookmarkStart w:id="292" w:name="_Toc3409"/>
      <w:bookmarkStart w:id="293" w:name="_Toc19299"/>
      <w:bookmarkStart w:id="294" w:name="_Toc191"/>
      <w:bookmarkStart w:id="295" w:name="_Toc1459"/>
      <w:bookmarkStart w:id="296" w:name="_Toc6102"/>
      <w:bookmarkStart w:id="297" w:name="_Toc6612"/>
      <w:bookmarkStart w:id="298" w:name="_Toc9343"/>
      <w:bookmarkStart w:id="299" w:name="_Toc12984826"/>
      <w:bookmarkStart w:id="300" w:name="_Toc12983557"/>
      <w:bookmarkStart w:id="301" w:name="_Toc5811"/>
      <w:bookmarkStart w:id="302" w:name="_Toc31487"/>
      <w:r>
        <w:rPr>
          <w:color w:val="auto"/>
          <w:sz w:val="21"/>
          <w:szCs w:val="21"/>
          <w:highlight w:val="none"/>
        </w:rPr>
        <w:t xml:space="preserve">附表二 </w:t>
      </w:r>
      <w:r>
        <w:rPr>
          <w:rFonts w:hint="eastAsia"/>
          <w:color w:val="auto"/>
          <w:sz w:val="21"/>
          <w:szCs w:val="21"/>
          <w:highlight w:val="none"/>
        </w:rPr>
        <w:t>符合性</w:t>
      </w:r>
      <w:r>
        <w:rPr>
          <w:color w:val="auto"/>
          <w:sz w:val="21"/>
          <w:szCs w:val="21"/>
          <w:highlight w:val="none"/>
        </w:rPr>
        <w:t>评审表</w:t>
      </w:r>
      <w:bookmarkEnd w:id="281"/>
      <w:bookmarkEnd w:id="282"/>
    </w:p>
    <w:p>
      <w:pPr>
        <w:spacing w:before="0"/>
        <w:ind w:right="0" w:firstLine="0"/>
        <w:jc w:val="center"/>
        <w:rPr>
          <w:b/>
          <w:color w:val="auto"/>
          <w:sz w:val="24"/>
          <w:szCs w:val="24"/>
          <w:highlight w:val="none"/>
        </w:rPr>
      </w:pPr>
      <w:r>
        <w:rPr>
          <w:rFonts w:hint="eastAsia" w:hAnsi="宋体"/>
          <w:b/>
          <w:color w:val="auto"/>
          <w:sz w:val="24"/>
          <w:szCs w:val="24"/>
          <w:highlight w:val="none"/>
        </w:rPr>
        <w:t>符合性</w:t>
      </w:r>
      <w:r>
        <w:rPr>
          <w:rFonts w:hAnsi="宋体"/>
          <w:b/>
          <w:color w:val="auto"/>
          <w:sz w:val="24"/>
          <w:szCs w:val="24"/>
          <w:highlight w:val="none"/>
        </w:rPr>
        <w:t>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left w:val="single" w:color="auto" w:sz="12"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序号</w:t>
            </w:r>
          </w:p>
        </w:tc>
        <w:tc>
          <w:tcPr>
            <w:tcW w:w="6096" w:type="dxa"/>
            <w:tcBorders>
              <w:top w:val="single" w:color="auto" w:sz="12" w:space="0"/>
              <w:left w:val="single" w:color="auto" w:sz="4"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评审项目</w:t>
            </w:r>
          </w:p>
        </w:tc>
        <w:tc>
          <w:tcPr>
            <w:tcW w:w="1134" w:type="dxa"/>
            <w:tcBorders>
              <w:top w:val="single" w:color="auto" w:sz="12" w:space="0"/>
              <w:left w:val="single" w:color="auto" w:sz="4" w:space="0"/>
              <w:bottom w:val="single" w:color="auto" w:sz="4" w:space="0"/>
              <w:right w:val="single" w:color="auto" w:sz="4" w:space="0"/>
            </w:tcBorders>
          </w:tcPr>
          <w:p>
            <w:pPr>
              <w:ind w:left="0" w:firstLine="0"/>
              <w:rPr>
                <w:rFonts w:ascii="宋体" w:hAnsi="宋体" w:cs="宋体"/>
                <w:color w:val="auto"/>
                <w:highlight w:val="none"/>
              </w:rPr>
            </w:pPr>
            <w:r>
              <w:rPr>
                <w:rFonts w:hint="eastAsia" w:ascii="宋体" w:hAnsi="宋体" w:cs="宋体"/>
                <w:color w:val="auto"/>
                <w:highlight w:val="none"/>
              </w:rPr>
              <w:t>评审结果</w:t>
            </w:r>
          </w:p>
        </w:tc>
        <w:tc>
          <w:tcPr>
            <w:tcW w:w="1098" w:type="dxa"/>
            <w:tcBorders>
              <w:top w:val="single" w:color="auto" w:sz="12" w:space="0"/>
              <w:left w:val="single" w:color="auto" w:sz="4" w:space="0"/>
              <w:bottom w:val="single" w:color="auto" w:sz="4" w:space="0"/>
              <w:right w:val="single" w:color="auto" w:sz="12"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tcBorders>
              <w:top w:val="single" w:color="auto" w:sz="4" w:space="0"/>
              <w:left w:val="single" w:color="auto" w:sz="12" w:space="0"/>
              <w:bottom w:val="single" w:color="auto" w:sz="4" w:space="0"/>
              <w:right w:val="single" w:color="auto" w:sz="4" w:space="0"/>
            </w:tcBorders>
            <w:vAlign w:val="center"/>
          </w:tcPr>
          <w:p>
            <w:pPr>
              <w:ind w:left="0" w:firstLine="0"/>
              <w:jc w:val="center"/>
              <w:rPr>
                <w:rFonts w:ascii="宋体" w:hAnsi="宋体" w:cs="宋体"/>
                <w:color w:val="auto"/>
                <w:highlight w:val="none"/>
              </w:rPr>
            </w:pPr>
            <w:r>
              <w:rPr>
                <w:rFonts w:hint="eastAsia" w:ascii="宋体" w:hAnsi="宋体" w:cs="宋体"/>
                <w:color w:val="auto"/>
                <w:highlight w:val="none"/>
              </w:rPr>
              <w:t>1</w:t>
            </w:r>
          </w:p>
        </w:tc>
        <w:tc>
          <w:tcPr>
            <w:tcW w:w="609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比选申请文件按要求在规定的位置签字（或盖章）并加盖比选申请人单位公章的</w:t>
            </w:r>
          </w:p>
        </w:tc>
        <w:tc>
          <w:tcPr>
            <w:tcW w:w="1134" w:type="dxa"/>
            <w:tcBorders>
              <w:top w:val="single" w:color="auto" w:sz="4" w:space="0"/>
              <w:left w:val="single" w:color="auto" w:sz="4" w:space="0"/>
              <w:bottom w:val="single" w:color="auto" w:sz="4" w:space="0"/>
              <w:right w:val="single" w:color="auto" w:sz="4" w:space="0"/>
            </w:tcBorders>
          </w:tcPr>
          <w:p>
            <w:pPr>
              <w:ind w:left="0" w:firstLine="0"/>
              <w:rPr>
                <w:rFonts w:ascii="宋体" w:hAnsi="宋体" w:cs="宋体"/>
                <w:color w:val="auto"/>
                <w:highlight w:val="none"/>
              </w:rPr>
            </w:pPr>
          </w:p>
        </w:tc>
        <w:tc>
          <w:tcPr>
            <w:tcW w:w="1098" w:type="dxa"/>
            <w:tcBorders>
              <w:top w:val="single" w:color="auto" w:sz="4" w:space="0"/>
              <w:left w:val="single" w:color="auto" w:sz="4" w:space="0"/>
              <w:bottom w:val="single" w:color="auto" w:sz="4" w:space="0"/>
              <w:right w:val="single" w:color="auto" w:sz="12" w:space="0"/>
            </w:tcBorders>
            <w:vAlign w:val="center"/>
          </w:tcPr>
          <w:p>
            <w:pPr>
              <w:ind w:left="0" w:firstLine="0"/>
              <w:rPr>
                <w:rFonts w:ascii="宋体" w:hAnsi="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tcBorders>
              <w:top w:val="single" w:color="auto" w:sz="4" w:space="0"/>
              <w:left w:val="single" w:color="auto" w:sz="12" w:space="0"/>
              <w:bottom w:val="single" w:color="auto" w:sz="4" w:space="0"/>
              <w:right w:val="single" w:color="auto" w:sz="4" w:space="0"/>
            </w:tcBorders>
            <w:vAlign w:val="center"/>
          </w:tcPr>
          <w:p>
            <w:pPr>
              <w:ind w:left="0" w:firstLine="0"/>
              <w:jc w:val="center"/>
              <w:rPr>
                <w:rFonts w:ascii="宋体" w:hAnsi="宋体" w:cs="宋体"/>
                <w:color w:val="auto"/>
                <w:highlight w:val="none"/>
              </w:rPr>
            </w:pPr>
            <w:r>
              <w:rPr>
                <w:rFonts w:hint="eastAsia" w:ascii="宋体" w:hAnsi="宋体" w:cs="宋体"/>
                <w:color w:val="auto"/>
                <w:highlight w:val="none"/>
              </w:rPr>
              <w:t>2</w:t>
            </w:r>
          </w:p>
        </w:tc>
        <w:tc>
          <w:tcPr>
            <w:tcW w:w="609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比选申请文件的实质性内容按规定填写、内容齐全的；（按比选文件第四章节规定格式填写的）</w:t>
            </w:r>
          </w:p>
        </w:tc>
        <w:tc>
          <w:tcPr>
            <w:tcW w:w="1134" w:type="dxa"/>
            <w:tcBorders>
              <w:top w:val="single" w:color="auto" w:sz="4" w:space="0"/>
              <w:left w:val="single" w:color="auto" w:sz="4" w:space="0"/>
              <w:bottom w:val="single" w:color="auto" w:sz="4" w:space="0"/>
              <w:right w:val="single" w:color="auto" w:sz="4" w:space="0"/>
            </w:tcBorders>
          </w:tcPr>
          <w:p>
            <w:pPr>
              <w:ind w:left="0" w:firstLine="0"/>
              <w:rPr>
                <w:rFonts w:ascii="宋体" w:hAnsi="宋体" w:cs="宋体"/>
                <w:color w:val="auto"/>
                <w:highlight w:val="none"/>
              </w:rPr>
            </w:pPr>
          </w:p>
        </w:tc>
        <w:tc>
          <w:tcPr>
            <w:tcW w:w="1098" w:type="dxa"/>
            <w:tcBorders>
              <w:top w:val="single" w:color="auto" w:sz="4" w:space="0"/>
              <w:left w:val="single" w:color="auto" w:sz="4" w:space="0"/>
              <w:bottom w:val="single" w:color="auto" w:sz="4" w:space="0"/>
              <w:right w:val="single" w:color="auto" w:sz="12" w:space="0"/>
            </w:tcBorders>
            <w:vAlign w:val="center"/>
          </w:tcPr>
          <w:p>
            <w:pPr>
              <w:ind w:left="0" w:firstLine="0"/>
              <w:rPr>
                <w:rFonts w:ascii="宋体" w:hAnsi="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tcBorders>
              <w:top w:val="single" w:color="auto" w:sz="4" w:space="0"/>
              <w:left w:val="single" w:color="auto" w:sz="12" w:space="0"/>
              <w:bottom w:val="single" w:color="auto" w:sz="4" w:space="0"/>
              <w:right w:val="single" w:color="auto" w:sz="4" w:space="0"/>
            </w:tcBorders>
            <w:vAlign w:val="center"/>
          </w:tcPr>
          <w:p>
            <w:pPr>
              <w:ind w:left="0" w:firstLine="0"/>
              <w:jc w:val="center"/>
              <w:rPr>
                <w:rFonts w:ascii="宋体" w:hAnsi="宋体" w:cs="宋体"/>
                <w:color w:val="auto"/>
                <w:highlight w:val="none"/>
              </w:rPr>
            </w:pPr>
            <w:r>
              <w:rPr>
                <w:rFonts w:hint="eastAsia" w:ascii="宋体" w:hAnsi="宋体" w:cs="宋体"/>
                <w:color w:val="auto"/>
                <w:highlight w:val="none"/>
              </w:rPr>
              <w:t>3</w:t>
            </w:r>
          </w:p>
        </w:tc>
        <w:tc>
          <w:tcPr>
            <w:tcW w:w="609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在比选申请文件中无虚假文件和/或资料的</w:t>
            </w:r>
          </w:p>
        </w:tc>
        <w:tc>
          <w:tcPr>
            <w:tcW w:w="1134" w:type="dxa"/>
            <w:tcBorders>
              <w:top w:val="single" w:color="auto" w:sz="4" w:space="0"/>
              <w:left w:val="single" w:color="auto" w:sz="4" w:space="0"/>
              <w:bottom w:val="single" w:color="auto" w:sz="4" w:space="0"/>
              <w:right w:val="single" w:color="auto" w:sz="4" w:space="0"/>
            </w:tcBorders>
          </w:tcPr>
          <w:p>
            <w:pPr>
              <w:ind w:left="0" w:firstLine="0"/>
              <w:rPr>
                <w:rFonts w:ascii="宋体" w:hAnsi="宋体" w:cs="宋体"/>
                <w:color w:val="auto"/>
                <w:highlight w:val="none"/>
              </w:rPr>
            </w:pPr>
          </w:p>
        </w:tc>
        <w:tc>
          <w:tcPr>
            <w:tcW w:w="1098" w:type="dxa"/>
            <w:tcBorders>
              <w:top w:val="single" w:color="auto" w:sz="4" w:space="0"/>
              <w:left w:val="single" w:color="auto" w:sz="4" w:space="0"/>
              <w:bottom w:val="single" w:color="auto" w:sz="4" w:space="0"/>
              <w:right w:val="single" w:color="auto" w:sz="12" w:space="0"/>
            </w:tcBorders>
            <w:vAlign w:val="center"/>
          </w:tcPr>
          <w:p>
            <w:pPr>
              <w:ind w:left="0" w:firstLine="0"/>
              <w:rPr>
                <w:rFonts w:ascii="宋体" w:hAnsi="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tcBorders>
              <w:top w:val="single" w:color="auto" w:sz="4" w:space="0"/>
              <w:left w:val="single" w:color="auto" w:sz="12" w:space="0"/>
              <w:bottom w:val="single" w:color="auto" w:sz="4" w:space="0"/>
              <w:right w:val="single" w:color="auto" w:sz="4" w:space="0"/>
            </w:tcBorders>
            <w:vAlign w:val="center"/>
          </w:tcPr>
          <w:p>
            <w:pPr>
              <w:ind w:left="0" w:firstLine="0"/>
              <w:jc w:val="center"/>
              <w:rPr>
                <w:rFonts w:ascii="宋体" w:hAnsi="宋体" w:cs="宋体"/>
                <w:color w:val="auto"/>
                <w:highlight w:val="none"/>
              </w:rPr>
            </w:pPr>
            <w:r>
              <w:rPr>
                <w:rFonts w:hint="eastAsia" w:ascii="宋体" w:hAnsi="宋体" w:cs="宋体"/>
                <w:color w:val="auto"/>
                <w:highlight w:val="none"/>
              </w:rPr>
              <w:t>4</w:t>
            </w:r>
          </w:p>
        </w:tc>
        <w:tc>
          <w:tcPr>
            <w:tcW w:w="609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比选申请报价明细表无任意一项负偏离的</w:t>
            </w:r>
          </w:p>
        </w:tc>
        <w:tc>
          <w:tcPr>
            <w:tcW w:w="1134" w:type="dxa"/>
            <w:tcBorders>
              <w:top w:val="single" w:color="auto" w:sz="4" w:space="0"/>
              <w:left w:val="single" w:color="auto" w:sz="4" w:space="0"/>
              <w:bottom w:val="single" w:color="auto" w:sz="4" w:space="0"/>
              <w:right w:val="single" w:color="auto" w:sz="4" w:space="0"/>
            </w:tcBorders>
          </w:tcPr>
          <w:p>
            <w:pPr>
              <w:ind w:left="0" w:firstLine="0"/>
              <w:rPr>
                <w:rFonts w:ascii="宋体" w:hAnsi="宋体" w:cs="宋体"/>
                <w:color w:val="auto"/>
                <w:highlight w:val="none"/>
              </w:rPr>
            </w:pPr>
          </w:p>
        </w:tc>
        <w:tc>
          <w:tcPr>
            <w:tcW w:w="1098" w:type="dxa"/>
            <w:tcBorders>
              <w:top w:val="single" w:color="auto" w:sz="4" w:space="0"/>
              <w:left w:val="single" w:color="auto" w:sz="4" w:space="0"/>
              <w:bottom w:val="single" w:color="auto" w:sz="4" w:space="0"/>
              <w:right w:val="single" w:color="auto" w:sz="12" w:space="0"/>
            </w:tcBorders>
            <w:vAlign w:val="center"/>
          </w:tcPr>
          <w:p>
            <w:pPr>
              <w:ind w:left="0" w:firstLine="0"/>
              <w:rPr>
                <w:rFonts w:ascii="宋体" w:hAnsi="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tcBorders>
              <w:top w:val="single" w:color="auto" w:sz="4" w:space="0"/>
              <w:left w:val="single" w:color="auto" w:sz="12" w:space="0"/>
              <w:bottom w:val="single" w:color="auto" w:sz="4" w:space="0"/>
              <w:right w:val="single" w:color="auto" w:sz="4" w:space="0"/>
            </w:tcBorders>
            <w:vAlign w:val="center"/>
          </w:tcPr>
          <w:p>
            <w:pPr>
              <w:ind w:left="0" w:firstLine="0"/>
              <w:jc w:val="center"/>
              <w:rPr>
                <w:rFonts w:ascii="宋体" w:hAnsi="宋体" w:cs="宋体"/>
                <w:color w:val="auto"/>
                <w:highlight w:val="none"/>
              </w:rPr>
            </w:pPr>
            <w:r>
              <w:rPr>
                <w:rFonts w:hint="eastAsia" w:ascii="宋体" w:hAnsi="宋体" w:cs="宋体"/>
                <w:color w:val="auto"/>
                <w:highlight w:val="none"/>
              </w:rPr>
              <w:t>5</w:t>
            </w:r>
          </w:p>
        </w:tc>
        <w:tc>
          <w:tcPr>
            <w:tcW w:w="609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比选响应表“完全响应”的</w:t>
            </w:r>
          </w:p>
        </w:tc>
        <w:tc>
          <w:tcPr>
            <w:tcW w:w="1134" w:type="dxa"/>
            <w:tcBorders>
              <w:top w:val="single" w:color="auto" w:sz="4" w:space="0"/>
              <w:left w:val="single" w:color="auto" w:sz="4" w:space="0"/>
              <w:bottom w:val="single" w:color="auto" w:sz="4" w:space="0"/>
              <w:right w:val="single" w:color="auto" w:sz="4" w:space="0"/>
            </w:tcBorders>
          </w:tcPr>
          <w:p>
            <w:pPr>
              <w:ind w:left="0" w:firstLine="0"/>
              <w:rPr>
                <w:rFonts w:ascii="宋体" w:hAnsi="宋体" w:cs="宋体"/>
                <w:color w:val="auto"/>
                <w:highlight w:val="none"/>
              </w:rPr>
            </w:pPr>
          </w:p>
        </w:tc>
        <w:tc>
          <w:tcPr>
            <w:tcW w:w="1098" w:type="dxa"/>
            <w:tcBorders>
              <w:top w:val="single" w:color="auto" w:sz="4" w:space="0"/>
              <w:left w:val="single" w:color="auto" w:sz="4" w:space="0"/>
              <w:bottom w:val="single" w:color="auto" w:sz="4" w:space="0"/>
              <w:right w:val="single" w:color="auto" w:sz="12" w:space="0"/>
            </w:tcBorders>
            <w:vAlign w:val="center"/>
          </w:tcPr>
          <w:p>
            <w:pPr>
              <w:ind w:left="0" w:firstLine="0"/>
              <w:rPr>
                <w:rFonts w:ascii="宋体" w:hAnsi="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tcBorders>
              <w:top w:val="single" w:color="auto" w:sz="4" w:space="0"/>
              <w:left w:val="single" w:color="auto" w:sz="12" w:space="0"/>
              <w:bottom w:val="single" w:color="auto" w:sz="4" w:space="0"/>
              <w:right w:val="single" w:color="auto" w:sz="4" w:space="0"/>
            </w:tcBorders>
            <w:vAlign w:val="center"/>
          </w:tcPr>
          <w:p>
            <w:pPr>
              <w:ind w:left="0" w:firstLine="0"/>
              <w:jc w:val="center"/>
              <w:rPr>
                <w:rFonts w:ascii="宋体" w:hAnsi="宋体" w:cs="宋体"/>
                <w:color w:val="auto"/>
                <w:highlight w:val="none"/>
              </w:rPr>
            </w:pPr>
            <w:r>
              <w:rPr>
                <w:rFonts w:hint="eastAsia" w:ascii="宋体" w:hAnsi="宋体" w:cs="宋体"/>
                <w:color w:val="auto"/>
                <w:highlight w:val="none"/>
              </w:rPr>
              <w:t>6</w:t>
            </w:r>
          </w:p>
        </w:tc>
        <w:tc>
          <w:tcPr>
            <w:tcW w:w="609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比选申请文件按比选文件要求提供按期交货承诺书的</w:t>
            </w:r>
          </w:p>
        </w:tc>
        <w:tc>
          <w:tcPr>
            <w:tcW w:w="1134" w:type="dxa"/>
            <w:tcBorders>
              <w:top w:val="single" w:color="auto" w:sz="4" w:space="0"/>
              <w:left w:val="single" w:color="auto" w:sz="4" w:space="0"/>
              <w:bottom w:val="single" w:color="auto" w:sz="4" w:space="0"/>
              <w:right w:val="single" w:color="auto" w:sz="4" w:space="0"/>
            </w:tcBorders>
          </w:tcPr>
          <w:p>
            <w:pPr>
              <w:ind w:left="0" w:firstLine="0"/>
              <w:rPr>
                <w:rFonts w:ascii="宋体" w:hAnsi="宋体" w:cs="宋体"/>
                <w:color w:val="auto"/>
                <w:highlight w:val="none"/>
              </w:rPr>
            </w:pPr>
          </w:p>
        </w:tc>
        <w:tc>
          <w:tcPr>
            <w:tcW w:w="1098" w:type="dxa"/>
            <w:tcBorders>
              <w:top w:val="single" w:color="auto" w:sz="4" w:space="0"/>
              <w:left w:val="single" w:color="auto" w:sz="4" w:space="0"/>
              <w:bottom w:val="single" w:color="auto" w:sz="4" w:space="0"/>
              <w:right w:val="single" w:color="auto" w:sz="12" w:space="0"/>
            </w:tcBorders>
            <w:vAlign w:val="center"/>
          </w:tcPr>
          <w:p>
            <w:pPr>
              <w:ind w:left="0" w:firstLine="0"/>
              <w:rPr>
                <w:rFonts w:ascii="宋体" w:hAnsi="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tcBorders>
              <w:top w:val="single" w:color="auto" w:sz="4" w:space="0"/>
              <w:left w:val="single" w:color="auto" w:sz="12" w:space="0"/>
              <w:bottom w:val="single" w:color="auto" w:sz="12" w:space="0"/>
              <w:right w:val="single" w:color="auto" w:sz="4" w:space="0"/>
            </w:tcBorders>
            <w:vAlign w:val="center"/>
          </w:tcPr>
          <w:p>
            <w:pPr>
              <w:ind w:left="0" w:firstLine="0"/>
              <w:jc w:val="center"/>
              <w:rPr>
                <w:rFonts w:ascii="宋体" w:hAnsi="宋体" w:cs="宋体"/>
                <w:color w:val="auto"/>
                <w:highlight w:val="none"/>
              </w:rPr>
            </w:pPr>
            <w:r>
              <w:rPr>
                <w:rFonts w:hint="eastAsia" w:ascii="宋体" w:hAnsi="宋体" w:cs="宋体"/>
                <w:color w:val="auto"/>
                <w:highlight w:val="none"/>
              </w:rPr>
              <w:t>7</w:t>
            </w:r>
          </w:p>
        </w:tc>
        <w:tc>
          <w:tcPr>
            <w:tcW w:w="6096" w:type="dxa"/>
            <w:tcBorders>
              <w:top w:val="single" w:color="auto" w:sz="4" w:space="0"/>
              <w:left w:val="single" w:color="auto" w:sz="4" w:space="0"/>
              <w:bottom w:val="single" w:color="auto" w:sz="12" w:space="0"/>
              <w:right w:val="single" w:color="auto" w:sz="4" w:space="0"/>
            </w:tcBorders>
            <w:vAlign w:val="center"/>
          </w:tcPr>
          <w:p>
            <w:pPr>
              <w:ind w:left="0" w:firstLine="0"/>
              <w:rPr>
                <w:rFonts w:ascii="宋体" w:hAnsi="宋体" w:cs="宋体"/>
                <w:color w:val="auto"/>
                <w:highlight w:val="none"/>
              </w:rPr>
            </w:pPr>
            <w:r>
              <w:rPr>
                <w:rFonts w:hint="eastAsia" w:ascii="宋体" w:hAnsi="宋体" w:cs="宋体"/>
                <w:color w:val="auto"/>
                <w:highlight w:val="none"/>
              </w:rPr>
              <w:t>比选文件、法律、法规规定的其他否决比选申请条件</w:t>
            </w:r>
          </w:p>
        </w:tc>
        <w:tc>
          <w:tcPr>
            <w:tcW w:w="1134" w:type="dxa"/>
            <w:tcBorders>
              <w:top w:val="single" w:color="auto" w:sz="4" w:space="0"/>
              <w:left w:val="single" w:color="auto" w:sz="4" w:space="0"/>
              <w:bottom w:val="single" w:color="auto" w:sz="12" w:space="0"/>
              <w:right w:val="single" w:color="auto" w:sz="4" w:space="0"/>
            </w:tcBorders>
          </w:tcPr>
          <w:p>
            <w:pPr>
              <w:ind w:left="0" w:firstLine="0"/>
              <w:rPr>
                <w:rFonts w:ascii="宋体" w:hAnsi="宋体" w:cs="宋体"/>
                <w:color w:val="auto"/>
                <w:highlight w:val="none"/>
              </w:rPr>
            </w:pPr>
          </w:p>
        </w:tc>
        <w:tc>
          <w:tcPr>
            <w:tcW w:w="1098" w:type="dxa"/>
            <w:tcBorders>
              <w:top w:val="single" w:color="auto" w:sz="4" w:space="0"/>
              <w:left w:val="single" w:color="auto" w:sz="4" w:space="0"/>
              <w:bottom w:val="single" w:color="auto" w:sz="12" w:space="0"/>
              <w:right w:val="single" w:color="auto" w:sz="12" w:space="0"/>
            </w:tcBorders>
            <w:vAlign w:val="center"/>
          </w:tcPr>
          <w:p>
            <w:pPr>
              <w:ind w:left="0" w:firstLine="0"/>
              <w:rPr>
                <w:rFonts w:ascii="宋体" w:hAnsi="宋体" w:cs="宋体"/>
                <w:color w:val="auto"/>
                <w:highlight w:val="none"/>
              </w:rPr>
            </w:pPr>
          </w:p>
        </w:tc>
      </w:tr>
    </w:tbl>
    <w:p>
      <w:pPr>
        <w:spacing w:before="0" w:after="0" w:afterAutospacing="0"/>
        <w:ind w:left="0" w:right="0" w:firstLine="0"/>
        <w:jc w:val="left"/>
        <w:rPr>
          <w:rFonts w:hAnsi="宋体"/>
          <w:color w:val="auto"/>
          <w:highlight w:val="none"/>
        </w:rPr>
      </w:pPr>
    </w:p>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pPr>
    </w:p>
    <w:p>
      <w:pPr>
        <w:spacing w:before="0"/>
        <w:ind w:right="0" w:firstLine="0"/>
        <w:jc w:val="center"/>
        <w:rPr>
          <w:rFonts w:hAnsi="宋体"/>
          <w:b/>
          <w:color w:val="auto"/>
          <w:sz w:val="24"/>
          <w:szCs w:val="24"/>
          <w:highlight w:val="none"/>
        </w:rPr>
      </w:pPr>
      <w:r>
        <w:rPr>
          <w:color w:val="auto"/>
          <w:highlight w:val="none"/>
        </w:rPr>
        <w:br w:type="page"/>
      </w:r>
    </w:p>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Pr>
        <w:spacing w:before="0" w:after="0" w:afterAutospacing="0" w:line="240" w:lineRule="auto"/>
        <w:ind w:left="0" w:right="0" w:firstLine="0"/>
        <w:jc w:val="left"/>
        <w:rPr>
          <w:rFonts w:ascii="宋体" w:hAnsi="宋体"/>
          <w:b/>
          <w:color w:val="auto"/>
          <w:highlight w:val="none"/>
        </w:rPr>
        <w:sectPr>
          <w:footerReference r:id="rId8" w:type="default"/>
          <w:pgSz w:w="11905" w:h="16838"/>
          <w:pgMar w:top="1418" w:right="1418" w:bottom="1418" w:left="1418" w:header="454" w:footer="567" w:gutter="0"/>
          <w:cols w:space="720" w:num="1"/>
          <w:docGrid w:linePitch="319" w:charSpace="0"/>
        </w:sectPr>
      </w:pPr>
    </w:p>
    <w:p>
      <w:pPr>
        <w:spacing w:before="0"/>
        <w:ind w:right="0" w:firstLine="0"/>
        <w:outlineLvl w:val="0"/>
        <w:rPr>
          <w:rFonts w:ascii="宋体" w:hAnsi="宋体"/>
          <w:b/>
          <w:color w:val="auto"/>
          <w:highlight w:val="none"/>
        </w:rPr>
      </w:pPr>
      <w:bookmarkStart w:id="303" w:name="_Toc11048"/>
      <w:bookmarkStart w:id="304" w:name="_Toc8803"/>
      <w:bookmarkStart w:id="305" w:name="_Toc13747"/>
      <w:bookmarkStart w:id="306" w:name="_Toc492478858"/>
      <w:bookmarkStart w:id="307" w:name="_Toc10654"/>
      <w:bookmarkStart w:id="308" w:name="_Toc10414"/>
      <w:bookmarkStart w:id="309" w:name="_Toc24793"/>
      <w:bookmarkStart w:id="310" w:name="_Toc6960"/>
      <w:bookmarkStart w:id="311" w:name="_Toc1480"/>
      <w:bookmarkStart w:id="312" w:name="_Toc1145"/>
      <w:bookmarkStart w:id="313" w:name="_Toc27431"/>
      <w:bookmarkStart w:id="314" w:name="_Toc9220"/>
      <w:bookmarkStart w:id="315" w:name="_Toc6932"/>
      <w:bookmarkStart w:id="316" w:name="_Toc21541"/>
      <w:bookmarkStart w:id="317" w:name="_Toc22594"/>
      <w:bookmarkStart w:id="318" w:name="_Toc22896"/>
      <w:bookmarkStart w:id="319" w:name="_Toc32725"/>
      <w:bookmarkStart w:id="320" w:name="_Toc4223"/>
      <w:bookmarkStart w:id="321" w:name="_Toc20211"/>
      <w:bookmarkStart w:id="322" w:name="_Toc414290588"/>
      <w:r>
        <w:rPr>
          <w:rFonts w:hint="eastAsia" w:ascii="宋体" w:hAnsi="宋体"/>
          <w:b/>
          <w:color w:val="auto"/>
          <w:highlight w:val="none"/>
        </w:rPr>
        <w:t>附表三 比选申请价格评审表</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spacing w:before="159"/>
        <w:ind w:right="-57" w:firstLine="0"/>
        <w:jc w:val="center"/>
        <w:outlineLvl w:val="0"/>
        <w:rPr>
          <w:rFonts w:ascii="宋体" w:hAnsi="宋体"/>
          <w:b/>
          <w:color w:val="auto"/>
          <w:sz w:val="28"/>
          <w:szCs w:val="28"/>
          <w:highlight w:val="none"/>
        </w:rPr>
      </w:pPr>
      <w:bookmarkStart w:id="323" w:name="_Toc10609"/>
      <w:r>
        <w:rPr>
          <w:rFonts w:hint="eastAsia" w:ascii="宋体" w:hAnsi="宋体"/>
          <w:b/>
          <w:color w:val="auto"/>
          <w:sz w:val="28"/>
          <w:szCs w:val="28"/>
          <w:highlight w:val="none"/>
        </w:rPr>
        <w:t>比选申请价格评审表</w:t>
      </w:r>
      <w:bookmarkEnd w:id="323"/>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3"/>
        <w:gridCol w:w="2301"/>
        <w:gridCol w:w="2258"/>
        <w:gridCol w:w="1424"/>
        <w:gridCol w:w="1562"/>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346" w:type="pct"/>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序号</w:t>
            </w:r>
          </w:p>
        </w:tc>
        <w:tc>
          <w:tcPr>
            <w:tcW w:w="1239" w:type="pct"/>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比选申请人名称</w:t>
            </w:r>
          </w:p>
        </w:tc>
        <w:tc>
          <w:tcPr>
            <w:tcW w:w="1216" w:type="pct"/>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修正前比选申请报价</w:t>
            </w:r>
          </w:p>
        </w:tc>
        <w:tc>
          <w:tcPr>
            <w:tcW w:w="767"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是否有修正</w:t>
            </w:r>
          </w:p>
        </w:tc>
        <w:tc>
          <w:tcPr>
            <w:tcW w:w="84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评审价（元）</w:t>
            </w:r>
          </w:p>
        </w:tc>
        <w:tc>
          <w:tcPr>
            <w:tcW w:w="591" w:type="pct"/>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4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39"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1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767" w:type="pct"/>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841" w:type="pct"/>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591" w:type="pct"/>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346" w:type="pct"/>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39" w:type="pct"/>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16" w:type="pct"/>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767"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4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9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4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39"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1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767"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4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9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4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39"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1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767"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4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9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4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39"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1216" w:type="pct"/>
            <w:tcBorders>
              <w:left w:val="single" w:color="auto" w:sz="4" w:space="0"/>
              <w:right w:val="single" w:color="auto" w:sz="4" w:space="0"/>
            </w:tcBorders>
            <w:vAlign w:val="center"/>
          </w:tcPr>
          <w:p>
            <w:pPr>
              <w:ind w:left="0" w:firstLine="0"/>
              <w:rPr>
                <w:rFonts w:ascii="宋体" w:hAnsi="宋体"/>
                <w:color w:val="auto"/>
                <w:highlight w:val="none"/>
              </w:rPr>
            </w:pPr>
          </w:p>
        </w:tc>
        <w:tc>
          <w:tcPr>
            <w:tcW w:w="767"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4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591" w:type="pct"/>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w:t>
      </w:r>
    </w:p>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2.评标价格及中标价均以修正后价格为准。如投标人不接受按以上规则确定的评标总价和中标价，则其投标将被拒绝。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before="159"/>
        <w:ind w:right="-57" w:firstLine="0"/>
        <w:jc w:val="center"/>
        <w:outlineLvl w:val="0"/>
        <w:rPr>
          <w:rFonts w:ascii="宋体" w:hAnsi="宋体"/>
          <w:b/>
          <w:color w:val="auto"/>
          <w:sz w:val="28"/>
          <w:szCs w:val="28"/>
          <w:highlight w:val="none"/>
        </w:rPr>
      </w:pPr>
      <w:bookmarkStart w:id="324" w:name="_Toc8613"/>
      <w:r>
        <w:rPr>
          <w:rFonts w:hint="eastAsia" w:ascii="宋体" w:hAnsi="宋体"/>
          <w:b/>
          <w:color w:val="auto"/>
          <w:sz w:val="28"/>
          <w:szCs w:val="28"/>
          <w:highlight w:val="none"/>
        </w:rPr>
        <w:t>附表：比选申请报价修正表</w:t>
      </w:r>
      <w:bookmarkEnd w:id="324"/>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85"/>
        <w:gridCol w:w="1272"/>
        <w:gridCol w:w="2396"/>
        <w:gridCol w:w="3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23" w:type="pct"/>
            <w:tcBorders>
              <w:left w:val="single" w:color="auto" w:sz="4" w:space="0"/>
              <w:bottom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b/>
                <w:color w:val="auto"/>
                <w:sz w:val="24"/>
                <w:szCs w:val="24"/>
                <w:highlight w:val="none"/>
              </w:rPr>
              <w:t>编号</w:t>
            </w:r>
          </w:p>
        </w:tc>
        <w:tc>
          <w:tcPr>
            <w:tcW w:w="685" w:type="pct"/>
            <w:tcBorders>
              <w:left w:val="single" w:color="auto" w:sz="4" w:space="0"/>
              <w:bottom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1290" w:type="pct"/>
            <w:tcBorders>
              <w:left w:val="single" w:color="auto" w:sz="4" w:space="0"/>
              <w:bottom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1901" w:type="pct"/>
            <w:tcBorders>
              <w:top w:val="single" w:color="auto" w:sz="4" w:space="0"/>
              <w:left w:val="single" w:color="auto" w:sz="4" w:space="0"/>
              <w:bottom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23" w:type="pct"/>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685" w:type="pct"/>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1290" w:type="pct"/>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1901" w:type="pct"/>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123" w:type="pct"/>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685" w:type="pct"/>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1290" w:type="pct"/>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1901" w:type="pct"/>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23" w:type="pct"/>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685" w:type="pct"/>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1290" w:type="pct"/>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1901" w:type="pct"/>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23" w:type="pct"/>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685" w:type="pct"/>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1290" w:type="pct"/>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1901" w:type="pct"/>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23" w:type="pct"/>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685" w:type="pct"/>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1290" w:type="pct"/>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1901" w:type="pct"/>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123" w:type="pct"/>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3877" w:type="pct"/>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23" w:type="pct"/>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3877" w:type="pct"/>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23" w:type="pct"/>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比选申请人代表签字</w:t>
            </w:r>
          </w:p>
        </w:tc>
        <w:tc>
          <w:tcPr>
            <w:tcW w:w="3877" w:type="pct"/>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sectPr>
      <w:pgSz w:w="11905" w:h="16838"/>
      <w:pgMar w:top="1418" w:right="1418" w:bottom="1304" w:left="1418"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848186"/>
    </w:sdtPr>
    <w:sdtContent>
      <w:sdt>
        <w:sdtPr>
          <w:id w:val="-1669238322"/>
        </w:sdtPr>
        <w:sdtContent>
          <w:p>
            <w:pPr>
              <w:pStyle w:val="1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77</w:t>
            </w:r>
            <w:r>
              <w:rPr>
                <w:b/>
                <w:bCs/>
                <w:sz w:val="24"/>
                <w:szCs w:val="24"/>
              </w:rPr>
              <w:fldChar w:fldCharType="end"/>
            </w:r>
          </w:p>
        </w:sdtContent>
      </w:sdt>
    </w:sdtContent>
  </w:sdt>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76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0Yn4g5AgAAYQQAAA4AAAAAAAAAAQAgAAAAHwEAAGRycy9lMm9Eb2Mu&#10;eG1sUEsFBgAAAAAGAAYAWQEAAMo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76</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hmZWUyMGMyYTBjOThkNzkwM2YyNDY3YjE3ODA0NWYifQ=="/>
  </w:docVars>
  <w:rsids>
    <w:rsidRoot w:val="00172A27"/>
    <w:rsid w:val="000000F2"/>
    <w:rsid w:val="00000139"/>
    <w:rsid w:val="00003CE2"/>
    <w:rsid w:val="000045EA"/>
    <w:rsid w:val="0000505A"/>
    <w:rsid w:val="00007C3F"/>
    <w:rsid w:val="000143B4"/>
    <w:rsid w:val="000156A5"/>
    <w:rsid w:val="00015B06"/>
    <w:rsid w:val="00022F88"/>
    <w:rsid w:val="0002476E"/>
    <w:rsid w:val="00030F30"/>
    <w:rsid w:val="0003642A"/>
    <w:rsid w:val="000428F8"/>
    <w:rsid w:val="000437E6"/>
    <w:rsid w:val="00043E88"/>
    <w:rsid w:val="00050898"/>
    <w:rsid w:val="0005200D"/>
    <w:rsid w:val="00056B62"/>
    <w:rsid w:val="00061B21"/>
    <w:rsid w:val="00063942"/>
    <w:rsid w:val="000674D5"/>
    <w:rsid w:val="00070470"/>
    <w:rsid w:val="00074337"/>
    <w:rsid w:val="0008222E"/>
    <w:rsid w:val="00092270"/>
    <w:rsid w:val="0009493E"/>
    <w:rsid w:val="00095B78"/>
    <w:rsid w:val="000A0870"/>
    <w:rsid w:val="000A167C"/>
    <w:rsid w:val="000A1767"/>
    <w:rsid w:val="000A3331"/>
    <w:rsid w:val="000A49C9"/>
    <w:rsid w:val="000B34C7"/>
    <w:rsid w:val="000B5BA2"/>
    <w:rsid w:val="000C1668"/>
    <w:rsid w:val="000C1D2F"/>
    <w:rsid w:val="000C20C1"/>
    <w:rsid w:val="000C32A2"/>
    <w:rsid w:val="000C4529"/>
    <w:rsid w:val="000C53FF"/>
    <w:rsid w:val="000C56A1"/>
    <w:rsid w:val="000C61D1"/>
    <w:rsid w:val="000C68D6"/>
    <w:rsid w:val="000D2B9F"/>
    <w:rsid w:val="000D3045"/>
    <w:rsid w:val="000E072A"/>
    <w:rsid w:val="000E3B0A"/>
    <w:rsid w:val="000E7DA5"/>
    <w:rsid w:val="000F56F5"/>
    <w:rsid w:val="000F5E28"/>
    <w:rsid w:val="000F6EB3"/>
    <w:rsid w:val="00100517"/>
    <w:rsid w:val="00100EE1"/>
    <w:rsid w:val="00107359"/>
    <w:rsid w:val="0011106B"/>
    <w:rsid w:val="0011296C"/>
    <w:rsid w:val="001147FC"/>
    <w:rsid w:val="001207B4"/>
    <w:rsid w:val="00126FBA"/>
    <w:rsid w:val="001315CE"/>
    <w:rsid w:val="00133A8C"/>
    <w:rsid w:val="001345CE"/>
    <w:rsid w:val="00135B62"/>
    <w:rsid w:val="00135C49"/>
    <w:rsid w:val="00136FF6"/>
    <w:rsid w:val="00141670"/>
    <w:rsid w:val="001445DC"/>
    <w:rsid w:val="001477B8"/>
    <w:rsid w:val="001520D4"/>
    <w:rsid w:val="0015296D"/>
    <w:rsid w:val="00155FD4"/>
    <w:rsid w:val="00157047"/>
    <w:rsid w:val="00157417"/>
    <w:rsid w:val="0017175E"/>
    <w:rsid w:val="00172A27"/>
    <w:rsid w:val="00180594"/>
    <w:rsid w:val="00183519"/>
    <w:rsid w:val="00186A28"/>
    <w:rsid w:val="001A37D3"/>
    <w:rsid w:val="001A3FCA"/>
    <w:rsid w:val="001A4AD0"/>
    <w:rsid w:val="001B0893"/>
    <w:rsid w:val="001C0C50"/>
    <w:rsid w:val="001C7BE5"/>
    <w:rsid w:val="001E0D82"/>
    <w:rsid w:val="001E0D93"/>
    <w:rsid w:val="001E5985"/>
    <w:rsid w:val="001E5F4A"/>
    <w:rsid w:val="001F25B0"/>
    <w:rsid w:val="00200610"/>
    <w:rsid w:val="002041A6"/>
    <w:rsid w:val="002065F4"/>
    <w:rsid w:val="00206D2E"/>
    <w:rsid w:val="00210D44"/>
    <w:rsid w:val="00212AF9"/>
    <w:rsid w:val="00226768"/>
    <w:rsid w:val="00226771"/>
    <w:rsid w:val="00226B2E"/>
    <w:rsid w:val="00226D0E"/>
    <w:rsid w:val="00227511"/>
    <w:rsid w:val="00237A98"/>
    <w:rsid w:val="0024287B"/>
    <w:rsid w:val="002441F7"/>
    <w:rsid w:val="0024741B"/>
    <w:rsid w:val="00261C93"/>
    <w:rsid w:val="00265564"/>
    <w:rsid w:val="00272F80"/>
    <w:rsid w:val="0027764C"/>
    <w:rsid w:val="00280E7F"/>
    <w:rsid w:val="0028366D"/>
    <w:rsid w:val="00292853"/>
    <w:rsid w:val="002A20A0"/>
    <w:rsid w:val="002A7A9A"/>
    <w:rsid w:val="002B1394"/>
    <w:rsid w:val="002C556E"/>
    <w:rsid w:val="002C5B0F"/>
    <w:rsid w:val="002D23D9"/>
    <w:rsid w:val="002D2720"/>
    <w:rsid w:val="002D2931"/>
    <w:rsid w:val="002D6A78"/>
    <w:rsid w:val="002D6D0E"/>
    <w:rsid w:val="002D770F"/>
    <w:rsid w:val="002E190D"/>
    <w:rsid w:val="002E6BE3"/>
    <w:rsid w:val="003044E3"/>
    <w:rsid w:val="003149DC"/>
    <w:rsid w:val="003166B6"/>
    <w:rsid w:val="00316E03"/>
    <w:rsid w:val="003207F4"/>
    <w:rsid w:val="00320BB7"/>
    <w:rsid w:val="00330D78"/>
    <w:rsid w:val="003354EE"/>
    <w:rsid w:val="00337C6A"/>
    <w:rsid w:val="003464E7"/>
    <w:rsid w:val="00346D4B"/>
    <w:rsid w:val="00353318"/>
    <w:rsid w:val="00354E36"/>
    <w:rsid w:val="003568E4"/>
    <w:rsid w:val="00361313"/>
    <w:rsid w:val="003632A7"/>
    <w:rsid w:val="00365CC3"/>
    <w:rsid w:val="0036732D"/>
    <w:rsid w:val="003706A5"/>
    <w:rsid w:val="003712A4"/>
    <w:rsid w:val="003756AE"/>
    <w:rsid w:val="003777EC"/>
    <w:rsid w:val="00383573"/>
    <w:rsid w:val="00393EBC"/>
    <w:rsid w:val="00395A23"/>
    <w:rsid w:val="003976F0"/>
    <w:rsid w:val="003A0C71"/>
    <w:rsid w:val="003A170B"/>
    <w:rsid w:val="003A286A"/>
    <w:rsid w:val="003A7F1A"/>
    <w:rsid w:val="003B097F"/>
    <w:rsid w:val="003B2656"/>
    <w:rsid w:val="003B3099"/>
    <w:rsid w:val="003B43D3"/>
    <w:rsid w:val="003B6BE9"/>
    <w:rsid w:val="003B7F1E"/>
    <w:rsid w:val="003C312A"/>
    <w:rsid w:val="003C4653"/>
    <w:rsid w:val="003D0506"/>
    <w:rsid w:val="003D3A75"/>
    <w:rsid w:val="003D6118"/>
    <w:rsid w:val="003E454F"/>
    <w:rsid w:val="003E6DFB"/>
    <w:rsid w:val="003E75AF"/>
    <w:rsid w:val="003F2270"/>
    <w:rsid w:val="003F672B"/>
    <w:rsid w:val="003F746F"/>
    <w:rsid w:val="0040286B"/>
    <w:rsid w:val="004043A2"/>
    <w:rsid w:val="004117BD"/>
    <w:rsid w:val="00412A48"/>
    <w:rsid w:val="00414B71"/>
    <w:rsid w:val="00417574"/>
    <w:rsid w:val="004215F1"/>
    <w:rsid w:val="0042215D"/>
    <w:rsid w:val="0043285C"/>
    <w:rsid w:val="004357B9"/>
    <w:rsid w:val="00436E82"/>
    <w:rsid w:val="00440133"/>
    <w:rsid w:val="00440F9A"/>
    <w:rsid w:val="00443ADE"/>
    <w:rsid w:val="0044418D"/>
    <w:rsid w:val="004518D2"/>
    <w:rsid w:val="0045479E"/>
    <w:rsid w:val="004608EF"/>
    <w:rsid w:val="004632AA"/>
    <w:rsid w:val="0046775D"/>
    <w:rsid w:val="00476FBE"/>
    <w:rsid w:val="00483264"/>
    <w:rsid w:val="004A0C16"/>
    <w:rsid w:val="004A0D30"/>
    <w:rsid w:val="004B1E96"/>
    <w:rsid w:val="004B508D"/>
    <w:rsid w:val="004B62C0"/>
    <w:rsid w:val="004B6350"/>
    <w:rsid w:val="004B6F1C"/>
    <w:rsid w:val="004C09AF"/>
    <w:rsid w:val="004C6241"/>
    <w:rsid w:val="004C7017"/>
    <w:rsid w:val="004D03B0"/>
    <w:rsid w:val="004D1018"/>
    <w:rsid w:val="004D449E"/>
    <w:rsid w:val="004D4C3A"/>
    <w:rsid w:val="004E12DE"/>
    <w:rsid w:val="004F148B"/>
    <w:rsid w:val="004F6E95"/>
    <w:rsid w:val="00500C4A"/>
    <w:rsid w:val="00505261"/>
    <w:rsid w:val="00510E4D"/>
    <w:rsid w:val="00512701"/>
    <w:rsid w:val="00512A45"/>
    <w:rsid w:val="00516B22"/>
    <w:rsid w:val="00523A8C"/>
    <w:rsid w:val="0052634A"/>
    <w:rsid w:val="00532363"/>
    <w:rsid w:val="00532575"/>
    <w:rsid w:val="00535498"/>
    <w:rsid w:val="00541401"/>
    <w:rsid w:val="005418DB"/>
    <w:rsid w:val="0054269C"/>
    <w:rsid w:val="005448AD"/>
    <w:rsid w:val="00545844"/>
    <w:rsid w:val="00562190"/>
    <w:rsid w:val="00562E44"/>
    <w:rsid w:val="005648F8"/>
    <w:rsid w:val="00564C20"/>
    <w:rsid w:val="00565FD9"/>
    <w:rsid w:val="00571943"/>
    <w:rsid w:val="00571D43"/>
    <w:rsid w:val="00574C3B"/>
    <w:rsid w:val="00575AB8"/>
    <w:rsid w:val="0057690D"/>
    <w:rsid w:val="0058087F"/>
    <w:rsid w:val="00583A7E"/>
    <w:rsid w:val="00587B70"/>
    <w:rsid w:val="005A1A6A"/>
    <w:rsid w:val="005A2E67"/>
    <w:rsid w:val="005A5B47"/>
    <w:rsid w:val="005B01E0"/>
    <w:rsid w:val="005B2E43"/>
    <w:rsid w:val="005B439E"/>
    <w:rsid w:val="005C0AA6"/>
    <w:rsid w:val="005C5B0E"/>
    <w:rsid w:val="005D0BB2"/>
    <w:rsid w:val="005D30DE"/>
    <w:rsid w:val="005E5912"/>
    <w:rsid w:val="005F2A05"/>
    <w:rsid w:val="005F2C46"/>
    <w:rsid w:val="005F57D6"/>
    <w:rsid w:val="005F5B89"/>
    <w:rsid w:val="00606397"/>
    <w:rsid w:val="006173A4"/>
    <w:rsid w:val="00622520"/>
    <w:rsid w:val="00622A7C"/>
    <w:rsid w:val="006279E7"/>
    <w:rsid w:val="00634596"/>
    <w:rsid w:val="0064043C"/>
    <w:rsid w:val="006425FA"/>
    <w:rsid w:val="00642B95"/>
    <w:rsid w:val="00647559"/>
    <w:rsid w:val="006523EB"/>
    <w:rsid w:val="00653C14"/>
    <w:rsid w:val="0065460D"/>
    <w:rsid w:val="0065720F"/>
    <w:rsid w:val="00657269"/>
    <w:rsid w:val="0066001D"/>
    <w:rsid w:val="0066558F"/>
    <w:rsid w:val="006679DC"/>
    <w:rsid w:val="00670400"/>
    <w:rsid w:val="006724B7"/>
    <w:rsid w:val="00672716"/>
    <w:rsid w:val="00672F69"/>
    <w:rsid w:val="00677925"/>
    <w:rsid w:val="00677A8A"/>
    <w:rsid w:val="006922EC"/>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32FC"/>
    <w:rsid w:val="00703D29"/>
    <w:rsid w:val="00703F0B"/>
    <w:rsid w:val="007076B1"/>
    <w:rsid w:val="0071330B"/>
    <w:rsid w:val="00722F66"/>
    <w:rsid w:val="00722FCE"/>
    <w:rsid w:val="00724317"/>
    <w:rsid w:val="007258A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4D8"/>
    <w:rsid w:val="00762CB8"/>
    <w:rsid w:val="0077088A"/>
    <w:rsid w:val="00771B6D"/>
    <w:rsid w:val="00785F88"/>
    <w:rsid w:val="00786B37"/>
    <w:rsid w:val="00790C82"/>
    <w:rsid w:val="00792362"/>
    <w:rsid w:val="007A04DC"/>
    <w:rsid w:val="007A287A"/>
    <w:rsid w:val="007A2EB0"/>
    <w:rsid w:val="007A4490"/>
    <w:rsid w:val="007B04FF"/>
    <w:rsid w:val="007B1635"/>
    <w:rsid w:val="007B194A"/>
    <w:rsid w:val="007B6DA0"/>
    <w:rsid w:val="007C15ED"/>
    <w:rsid w:val="007C19AE"/>
    <w:rsid w:val="007C283D"/>
    <w:rsid w:val="007C2CCC"/>
    <w:rsid w:val="007C337F"/>
    <w:rsid w:val="007D0888"/>
    <w:rsid w:val="007D2FAE"/>
    <w:rsid w:val="007D399D"/>
    <w:rsid w:val="007D59AF"/>
    <w:rsid w:val="007D7DEB"/>
    <w:rsid w:val="007E7AA0"/>
    <w:rsid w:val="007F0619"/>
    <w:rsid w:val="007F28DB"/>
    <w:rsid w:val="007F4345"/>
    <w:rsid w:val="00803C1E"/>
    <w:rsid w:val="00804954"/>
    <w:rsid w:val="00810B98"/>
    <w:rsid w:val="0081164E"/>
    <w:rsid w:val="00816129"/>
    <w:rsid w:val="008177BD"/>
    <w:rsid w:val="00824189"/>
    <w:rsid w:val="008252F0"/>
    <w:rsid w:val="00826EBD"/>
    <w:rsid w:val="00834E88"/>
    <w:rsid w:val="0083668C"/>
    <w:rsid w:val="00840E0D"/>
    <w:rsid w:val="008461E9"/>
    <w:rsid w:val="008475AA"/>
    <w:rsid w:val="00847E90"/>
    <w:rsid w:val="00856873"/>
    <w:rsid w:val="00856E35"/>
    <w:rsid w:val="0086037E"/>
    <w:rsid w:val="00860F02"/>
    <w:rsid w:val="00861912"/>
    <w:rsid w:val="008657A4"/>
    <w:rsid w:val="00865FB6"/>
    <w:rsid w:val="0086730C"/>
    <w:rsid w:val="00876D84"/>
    <w:rsid w:val="0088026D"/>
    <w:rsid w:val="00881EB7"/>
    <w:rsid w:val="00884884"/>
    <w:rsid w:val="0088570D"/>
    <w:rsid w:val="00887902"/>
    <w:rsid w:val="00891420"/>
    <w:rsid w:val="00895FBB"/>
    <w:rsid w:val="00897161"/>
    <w:rsid w:val="008A0C18"/>
    <w:rsid w:val="008A1E1B"/>
    <w:rsid w:val="008A5463"/>
    <w:rsid w:val="008B0302"/>
    <w:rsid w:val="008B224C"/>
    <w:rsid w:val="008C2226"/>
    <w:rsid w:val="008C77F8"/>
    <w:rsid w:val="008D2976"/>
    <w:rsid w:val="008E500C"/>
    <w:rsid w:val="008F2A48"/>
    <w:rsid w:val="008F720F"/>
    <w:rsid w:val="00900496"/>
    <w:rsid w:val="009021F6"/>
    <w:rsid w:val="00902910"/>
    <w:rsid w:val="00904592"/>
    <w:rsid w:val="00906D34"/>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6B31"/>
    <w:rsid w:val="00956FA8"/>
    <w:rsid w:val="00957AA0"/>
    <w:rsid w:val="009604CB"/>
    <w:rsid w:val="00961F4A"/>
    <w:rsid w:val="00965538"/>
    <w:rsid w:val="0097464F"/>
    <w:rsid w:val="00974EBD"/>
    <w:rsid w:val="0098272D"/>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16DB9"/>
    <w:rsid w:val="00A249A4"/>
    <w:rsid w:val="00A2528E"/>
    <w:rsid w:val="00A31A3F"/>
    <w:rsid w:val="00A34C49"/>
    <w:rsid w:val="00A461C1"/>
    <w:rsid w:val="00A535D7"/>
    <w:rsid w:val="00A54F86"/>
    <w:rsid w:val="00A63392"/>
    <w:rsid w:val="00A722C5"/>
    <w:rsid w:val="00A859DC"/>
    <w:rsid w:val="00A872DA"/>
    <w:rsid w:val="00A9122E"/>
    <w:rsid w:val="00A91F36"/>
    <w:rsid w:val="00A93A7F"/>
    <w:rsid w:val="00A975BC"/>
    <w:rsid w:val="00AA0FB3"/>
    <w:rsid w:val="00AB6B27"/>
    <w:rsid w:val="00AD6B25"/>
    <w:rsid w:val="00AD6ED0"/>
    <w:rsid w:val="00AE2C17"/>
    <w:rsid w:val="00AE5333"/>
    <w:rsid w:val="00AE6F3C"/>
    <w:rsid w:val="00AF196A"/>
    <w:rsid w:val="00AF54E1"/>
    <w:rsid w:val="00B00C09"/>
    <w:rsid w:val="00B04155"/>
    <w:rsid w:val="00B04E81"/>
    <w:rsid w:val="00B12244"/>
    <w:rsid w:val="00B14E6B"/>
    <w:rsid w:val="00B16089"/>
    <w:rsid w:val="00B204D2"/>
    <w:rsid w:val="00B20B14"/>
    <w:rsid w:val="00B25BF3"/>
    <w:rsid w:val="00B266B6"/>
    <w:rsid w:val="00B31CA2"/>
    <w:rsid w:val="00B457D5"/>
    <w:rsid w:val="00B47764"/>
    <w:rsid w:val="00B4784E"/>
    <w:rsid w:val="00B52D63"/>
    <w:rsid w:val="00B56B83"/>
    <w:rsid w:val="00B6108C"/>
    <w:rsid w:val="00B62476"/>
    <w:rsid w:val="00B6303A"/>
    <w:rsid w:val="00B75E61"/>
    <w:rsid w:val="00B76409"/>
    <w:rsid w:val="00B76717"/>
    <w:rsid w:val="00B774C8"/>
    <w:rsid w:val="00B80D2F"/>
    <w:rsid w:val="00B825E7"/>
    <w:rsid w:val="00B82E58"/>
    <w:rsid w:val="00B863CD"/>
    <w:rsid w:val="00B90078"/>
    <w:rsid w:val="00B90EB4"/>
    <w:rsid w:val="00B97802"/>
    <w:rsid w:val="00BA0E5D"/>
    <w:rsid w:val="00BA3124"/>
    <w:rsid w:val="00BA37AA"/>
    <w:rsid w:val="00BA55B3"/>
    <w:rsid w:val="00BB2B84"/>
    <w:rsid w:val="00BC3657"/>
    <w:rsid w:val="00BD389A"/>
    <w:rsid w:val="00BE2F9C"/>
    <w:rsid w:val="00BE3C13"/>
    <w:rsid w:val="00BF3812"/>
    <w:rsid w:val="00BF4099"/>
    <w:rsid w:val="00C07A4F"/>
    <w:rsid w:val="00C13489"/>
    <w:rsid w:val="00C244BA"/>
    <w:rsid w:val="00C254EC"/>
    <w:rsid w:val="00C25AD7"/>
    <w:rsid w:val="00C31620"/>
    <w:rsid w:val="00C3605A"/>
    <w:rsid w:val="00C4070E"/>
    <w:rsid w:val="00C421CD"/>
    <w:rsid w:val="00C45A1F"/>
    <w:rsid w:val="00C46538"/>
    <w:rsid w:val="00C46568"/>
    <w:rsid w:val="00C519A3"/>
    <w:rsid w:val="00C524FA"/>
    <w:rsid w:val="00C557E5"/>
    <w:rsid w:val="00C61DF1"/>
    <w:rsid w:val="00C636A8"/>
    <w:rsid w:val="00C649A3"/>
    <w:rsid w:val="00C64C38"/>
    <w:rsid w:val="00C64D53"/>
    <w:rsid w:val="00C709CA"/>
    <w:rsid w:val="00C716E6"/>
    <w:rsid w:val="00C7432E"/>
    <w:rsid w:val="00C76FE6"/>
    <w:rsid w:val="00C8124B"/>
    <w:rsid w:val="00C85D99"/>
    <w:rsid w:val="00C91765"/>
    <w:rsid w:val="00C9325D"/>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8FA"/>
    <w:rsid w:val="00CD7D67"/>
    <w:rsid w:val="00CE01EF"/>
    <w:rsid w:val="00CF001A"/>
    <w:rsid w:val="00CF355D"/>
    <w:rsid w:val="00D0134F"/>
    <w:rsid w:val="00D0202D"/>
    <w:rsid w:val="00D04154"/>
    <w:rsid w:val="00D14665"/>
    <w:rsid w:val="00D14E99"/>
    <w:rsid w:val="00D1571D"/>
    <w:rsid w:val="00D21E36"/>
    <w:rsid w:val="00D2321E"/>
    <w:rsid w:val="00D23492"/>
    <w:rsid w:val="00D26520"/>
    <w:rsid w:val="00D277F8"/>
    <w:rsid w:val="00D300DD"/>
    <w:rsid w:val="00D37B6A"/>
    <w:rsid w:val="00D44F13"/>
    <w:rsid w:val="00D479CD"/>
    <w:rsid w:val="00D55758"/>
    <w:rsid w:val="00D74E9C"/>
    <w:rsid w:val="00D829D0"/>
    <w:rsid w:val="00D841A1"/>
    <w:rsid w:val="00D84F11"/>
    <w:rsid w:val="00D92C17"/>
    <w:rsid w:val="00D930BB"/>
    <w:rsid w:val="00D932AD"/>
    <w:rsid w:val="00D93779"/>
    <w:rsid w:val="00D95A48"/>
    <w:rsid w:val="00D95A4C"/>
    <w:rsid w:val="00DA4D68"/>
    <w:rsid w:val="00DB181C"/>
    <w:rsid w:val="00DB2E0D"/>
    <w:rsid w:val="00DC7E00"/>
    <w:rsid w:val="00DE249D"/>
    <w:rsid w:val="00DE77B9"/>
    <w:rsid w:val="00E02431"/>
    <w:rsid w:val="00E03C51"/>
    <w:rsid w:val="00E11081"/>
    <w:rsid w:val="00E22781"/>
    <w:rsid w:val="00E255AC"/>
    <w:rsid w:val="00E26053"/>
    <w:rsid w:val="00E27434"/>
    <w:rsid w:val="00E2763A"/>
    <w:rsid w:val="00E312D2"/>
    <w:rsid w:val="00E33009"/>
    <w:rsid w:val="00E3415B"/>
    <w:rsid w:val="00E42EAA"/>
    <w:rsid w:val="00E43660"/>
    <w:rsid w:val="00E449D8"/>
    <w:rsid w:val="00E45D74"/>
    <w:rsid w:val="00E51F99"/>
    <w:rsid w:val="00E52414"/>
    <w:rsid w:val="00E55177"/>
    <w:rsid w:val="00E57591"/>
    <w:rsid w:val="00E653F5"/>
    <w:rsid w:val="00E72F1F"/>
    <w:rsid w:val="00E73DC4"/>
    <w:rsid w:val="00E763ED"/>
    <w:rsid w:val="00E86025"/>
    <w:rsid w:val="00E8709E"/>
    <w:rsid w:val="00E93BCC"/>
    <w:rsid w:val="00E9439E"/>
    <w:rsid w:val="00E96E54"/>
    <w:rsid w:val="00EA11E5"/>
    <w:rsid w:val="00EA1ED7"/>
    <w:rsid w:val="00EA49B9"/>
    <w:rsid w:val="00EA5C66"/>
    <w:rsid w:val="00EB0C24"/>
    <w:rsid w:val="00EC2D7B"/>
    <w:rsid w:val="00EC7653"/>
    <w:rsid w:val="00ED5241"/>
    <w:rsid w:val="00ED64CD"/>
    <w:rsid w:val="00ED7DBB"/>
    <w:rsid w:val="00EE3A42"/>
    <w:rsid w:val="00EE5896"/>
    <w:rsid w:val="00EE6E83"/>
    <w:rsid w:val="00EF20F4"/>
    <w:rsid w:val="00EF2D43"/>
    <w:rsid w:val="00EF2D68"/>
    <w:rsid w:val="00EF5BD9"/>
    <w:rsid w:val="00EF6456"/>
    <w:rsid w:val="00F06631"/>
    <w:rsid w:val="00F115E5"/>
    <w:rsid w:val="00F121C0"/>
    <w:rsid w:val="00F1492D"/>
    <w:rsid w:val="00F2140E"/>
    <w:rsid w:val="00F2195D"/>
    <w:rsid w:val="00F275D0"/>
    <w:rsid w:val="00F331FE"/>
    <w:rsid w:val="00F344D6"/>
    <w:rsid w:val="00F35244"/>
    <w:rsid w:val="00F359C1"/>
    <w:rsid w:val="00F37250"/>
    <w:rsid w:val="00F3752A"/>
    <w:rsid w:val="00F40FBF"/>
    <w:rsid w:val="00F41ABA"/>
    <w:rsid w:val="00F43D41"/>
    <w:rsid w:val="00F466A5"/>
    <w:rsid w:val="00F502E0"/>
    <w:rsid w:val="00F52F5A"/>
    <w:rsid w:val="00F5512B"/>
    <w:rsid w:val="00F56501"/>
    <w:rsid w:val="00F57BAB"/>
    <w:rsid w:val="00F603CC"/>
    <w:rsid w:val="00F74EBD"/>
    <w:rsid w:val="00F82ADB"/>
    <w:rsid w:val="00F831B3"/>
    <w:rsid w:val="00F85E17"/>
    <w:rsid w:val="00F86B8B"/>
    <w:rsid w:val="00F8733F"/>
    <w:rsid w:val="00F90DB4"/>
    <w:rsid w:val="00F94057"/>
    <w:rsid w:val="00F95B86"/>
    <w:rsid w:val="00FB3AAB"/>
    <w:rsid w:val="00FC02B4"/>
    <w:rsid w:val="00FD1370"/>
    <w:rsid w:val="00FD5129"/>
    <w:rsid w:val="00FD5F55"/>
    <w:rsid w:val="00FE3364"/>
    <w:rsid w:val="00FE4C53"/>
    <w:rsid w:val="00FE6711"/>
    <w:rsid w:val="00FF2D5E"/>
    <w:rsid w:val="00FF39F8"/>
    <w:rsid w:val="00FF3FB5"/>
    <w:rsid w:val="00FF501A"/>
    <w:rsid w:val="00FF5A2F"/>
    <w:rsid w:val="00FF6546"/>
    <w:rsid w:val="018D0414"/>
    <w:rsid w:val="037E4CFC"/>
    <w:rsid w:val="07733AEC"/>
    <w:rsid w:val="07E27DCD"/>
    <w:rsid w:val="09C81550"/>
    <w:rsid w:val="0D460BF6"/>
    <w:rsid w:val="0E0312C4"/>
    <w:rsid w:val="0E1725C0"/>
    <w:rsid w:val="0F4A08D0"/>
    <w:rsid w:val="10B51888"/>
    <w:rsid w:val="128922A1"/>
    <w:rsid w:val="12B76718"/>
    <w:rsid w:val="13D60C39"/>
    <w:rsid w:val="142F43C4"/>
    <w:rsid w:val="15775841"/>
    <w:rsid w:val="175B7696"/>
    <w:rsid w:val="1779169E"/>
    <w:rsid w:val="18747E1F"/>
    <w:rsid w:val="19054A4C"/>
    <w:rsid w:val="1A6D2FD4"/>
    <w:rsid w:val="1AD82D4C"/>
    <w:rsid w:val="1B5C67CB"/>
    <w:rsid w:val="1C237EF5"/>
    <w:rsid w:val="22347EC0"/>
    <w:rsid w:val="23F2074C"/>
    <w:rsid w:val="259D56B8"/>
    <w:rsid w:val="278B636C"/>
    <w:rsid w:val="28931D98"/>
    <w:rsid w:val="28FC47D4"/>
    <w:rsid w:val="2BAC4F46"/>
    <w:rsid w:val="2BED5159"/>
    <w:rsid w:val="303E2560"/>
    <w:rsid w:val="30E509B7"/>
    <w:rsid w:val="34103572"/>
    <w:rsid w:val="3AEC50AC"/>
    <w:rsid w:val="3B50220D"/>
    <w:rsid w:val="3C8814E6"/>
    <w:rsid w:val="3CC91C22"/>
    <w:rsid w:val="3E0A319C"/>
    <w:rsid w:val="3E1A3557"/>
    <w:rsid w:val="40332E52"/>
    <w:rsid w:val="40D57DED"/>
    <w:rsid w:val="43EA5BC6"/>
    <w:rsid w:val="43F02DD9"/>
    <w:rsid w:val="44185EE7"/>
    <w:rsid w:val="444F16BE"/>
    <w:rsid w:val="44A163A9"/>
    <w:rsid w:val="4562779E"/>
    <w:rsid w:val="466854AC"/>
    <w:rsid w:val="46B74872"/>
    <w:rsid w:val="46D87B0C"/>
    <w:rsid w:val="46E47D55"/>
    <w:rsid w:val="4A461D63"/>
    <w:rsid w:val="4CF06711"/>
    <w:rsid w:val="4E232079"/>
    <w:rsid w:val="4E4A5793"/>
    <w:rsid w:val="5047222E"/>
    <w:rsid w:val="537717A2"/>
    <w:rsid w:val="552A7895"/>
    <w:rsid w:val="55D671FC"/>
    <w:rsid w:val="567A72BC"/>
    <w:rsid w:val="58D60995"/>
    <w:rsid w:val="59633BAD"/>
    <w:rsid w:val="5A9A1850"/>
    <w:rsid w:val="5B096777"/>
    <w:rsid w:val="5BC361AC"/>
    <w:rsid w:val="5BF95104"/>
    <w:rsid w:val="5CA850DE"/>
    <w:rsid w:val="5D316825"/>
    <w:rsid w:val="5DA17249"/>
    <w:rsid w:val="5FD4689A"/>
    <w:rsid w:val="606C1411"/>
    <w:rsid w:val="620C07C2"/>
    <w:rsid w:val="63B956D1"/>
    <w:rsid w:val="651D2E62"/>
    <w:rsid w:val="65913850"/>
    <w:rsid w:val="65D26342"/>
    <w:rsid w:val="66B127A6"/>
    <w:rsid w:val="680712BE"/>
    <w:rsid w:val="6C196298"/>
    <w:rsid w:val="6D5F6CA5"/>
    <w:rsid w:val="70840210"/>
    <w:rsid w:val="73A27639"/>
    <w:rsid w:val="73F12087"/>
    <w:rsid w:val="74CE7B18"/>
    <w:rsid w:val="759E3638"/>
    <w:rsid w:val="7875585D"/>
    <w:rsid w:val="78E0091E"/>
    <w:rsid w:val="7D454F77"/>
    <w:rsid w:val="7D7B1275"/>
    <w:rsid w:val="7E751B62"/>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7"/>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49"/>
    <w:semiHidden/>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Date"/>
    <w:basedOn w:val="1"/>
    <w:next w:val="1"/>
    <w:link w:val="51"/>
    <w:semiHidden/>
    <w:unhideWhenUsed/>
    <w:qFormat/>
    <w:uiPriority w:val="99"/>
    <w:pPr>
      <w:ind w:left="100" w:leftChars="2500"/>
    </w:p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link w:val="54"/>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annotation subject"/>
    <w:basedOn w:val="8"/>
    <w:next w:val="8"/>
    <w:semiHidden/>
    <w:unhideWhenUsed/>
    <w:qFormat/>
    <w:uiPriority w:val="0"/>
    <w:rPr>
      <w:b/>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8"/>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7">
    <w:name w:val="纯文本 字符"/>
    <w:link w:val="2"/>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8"/>
    <w:link w:val="9"/>
    <w:semiHidden/>
    <w:qFormat/>
    <w:uiPriority w:val="99"/>
    <w:rPr>
      <w:sz w:val="21"/>
      <w:szCs w:val="21"/>
    </w:rPr>
  </w:style>
  <w:style w:type="paragraph" w:customStyle="1" w:styleId="50">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1">
    <w:name w:val="日期 字符"/>
    <w:basedOn w:val="28"/>
    <w:link w:val="13"/>
    <w:semiHidden/>
    <w:qFormat/>
    <w:uiPriority w:val="99"/>
    <w:rPr>
      <w:sz w:val="21"/>
      <w:szCs w:val="21"/>
    </w:rPr>
  </w:style>
  <w:style w:type="paragraph" w:customStyle="1" w:styleId="52">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53">
    <w:name w:val="TOC 标题2"/>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4">
    <w:name w:val="正文文本缩进 3 字符"/>
    <w:basedOn w:val="28"/>
    <w:link w:val="21"/>
    <w:qFormat/>
    <w:uiPriority w:val="0"/>
    <w:rPr>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1.png"/><Relationship Id="rId3" Type="http://schemas.openxmlformats.org/officeDocument/2006/relationships/footnotes" Target="footnotes.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5A8333-7E92-4518-82DA-C32190D0A50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34012</Words>
  <Characters>36226</Characters>
  <Lines>1797</Lines>
  <Paragraphs>1634</Paragraphs>
  <TotalTime>38</TotalTime>
  <ScaleCrop>false</ScaleCrop>
  <LinksUpToDate>false</LinksUpToDate>
  <CharactersWithSpaces>37238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cp:lastModifiedBy>
  <cp:lastPrinted>2022-04-29T02:41:00Z</cp:lastPrinted>
  <dcterms:modified xsi:type="dcterms:W3CDTF">2023-09-07T09:35:35Z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D79EC26DCF2847F990CA02B56FE5135E</vt:lpwstr>
  </property>
</Properties>
</file>