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highlight w:val="none"/>
        </w:rPr>
      </w:pPr>
    </w:p>
    <w:p>
      <w:pPr>
        <w:pStyle w:val="2"/>
        <w:rPr>
          <w:highlight w:val="none"/>
        </w:rPr>
      </w:pPr>
      <w:bookmarkStart w:id="0" w:name="_Toc32432"/>
      <w:bookmarkStart w:id="1" w:name="_Toc27263"/>
      <w:bookmarkStart w:id="2" w:name="_Toc17396"/>
      <w:bookmarkStart w:id="3" w:name="_Toc28285"/>
      <w:bookmarkStart w:id="4" w:name="_Toc30920"/>
      <w:bookmarkStart w:id="5" w:name="_Toc11320"/>
      <w:bookmarkStart w:id="6" w:name="_Toc14790"/>
      <w:bookmarkStart w:id="7" w:name="_Toc6151"/>
      <w:bookmarkStart w:id="8" w:name="_Toc28677"/>
      <w:bookmarkStart w:id="9" w:name="_Toc17261"/>
      <w:bookmarkStart w:id="10" w:name="_Toc25306"/>
      <w:bookmarkStart w:id="11" w:name="_Toc31873"/>
      <w:bookmarkStart w:id="12" w:name="_Toc31574"/>
      <w:bookmarkStart w:id="13" w:name="_Toc13167"/>
      <w:bookmarkStart w:id="14" w:name="_Toc29546"/>
      <w:bookmarkStart w:id="15" w:name="_Toc21689"/>
      <w:bookmarkStart w:id="16" w:name="_Toc32011"/>
      <w:bookmarkStart w:id="17" w:name="_Toc4374"/>
    </w:p>
    <w:p>
      <w:pPr>
        <w:spacing w:line="300" w:lineRule="exact"/>
        <w:jc w:val="center"/>
        <w:rPr>
          <w:rFonts w:ascii="宋体"/>
          <w:b/>
          <w:color w:val="000000"/>
          <w:sz w:val="28"/>
          <w:szCs w:val="30"/>
          <w:highlight w:val="none"/>
        </w:rPr>
      </w:pPr>
    </w:p>
    <w:p>
      <w:pPr>
        <w:pStyle w:val="2"/>
        <w:numPr>
          <w:ilvl w:val="0"/>
          <w:numId w:val="0"/>
        </w:numPr>
        <w:ind w:right="-57" w:rightChars="0" w:firstLine="2650" w:firstLineChars="600"/>
        <w:jc w:val="both"/>
        <w:outlineLvl w:val="0"/>
        <w:rPr>
          <w:rStyle w:val="43"/>
          <w:rFonts w:ascii="宋体" w:hAnsi="宋体" w:eastAsia="宋体"/>
          <w:sz w:val="44"/>
          <w:szCs w:val="44"/>
          <w:highlight w:val="none"/>
        </w:rPr>
      </w:pPr>
      <w:bookmarkStart w:id="18" w:name="_Toc23242"/>
      <w:bookmarkStart w:id="19" w:name="_Toc7904"/>
      <w:bookmarkStart w:id="20" w:name="_Toc23285"/>
      <w:bookmarkStart w:id="21" w:name="_Toc27761"/>
      <w:bookmarkStart w:id="22" w:name="_Toc12223"/>
      <w:bookmarkStart w:id="23" w:name="_Toc19527"/>
      <w:bookmarkStart w:id="24" w:name="_Toc22653"/>
      <w:bookmarkStart w:id="25" w:name="_Toc2230"/>
      <w:bookmarkStart w:id="26" w:name="_Toc28644"/>
      <w:r>
        <w:rPr>
          <w:rStyle w:val="43"/>
          <w:rFonts w:hint="eastAsia" w:ascii="宋体" w:hAnsi="宋体" w:eastAsia="宋体"/>
          <w:sz w:val="44"/>
          <w:szCs w:val="44"/>
          <w:highlight w:val="none"/>
        </w:rPr>
        <w:t>合同条款及格式</w:t>
      </w:r>
      <w:bookmarkEnd w:id="0"/>
      <w:bookmarkEnd w:id="18"/>
      <w:bookmarkEnd w:id="19"/>
      <w:bookmarkEnd w:id="20"/>
      <w:bookmarkEnd w:id="21"/>
      <w:bookmarkEnd w:id="22"/>
      <w:bookmarkEnd w:id="23"/>
      <w:bookmarkEnd w:id="24"/>
      <w:bookmarkEnd w:id="25"/>
      <w:bookmarkEnd w:id="26"/>
    </w:p>
    <w:p>
      <w:pPr>
        <w:jc w:val="center"/>
        <w:rPr>
          <w:highlight w:val="none"/>
        </w:rPr>
      </w:pPr>
      <w:r>
        <w:rPr>
          <w:rFonts w:hint="eastAsia" w:ascii="宋体" w:hAnsi="宋体" w:cs="宋体"/>
          <w:sz w:val="24"/>
          <w:szCs w:val="24"/>
          <w:highlight w:val="none"/>
        </w:rPr>
        <w:t>（0</w:t>
      </w:r>
      <w:r>
        <w:rPr>
          <w:rFonts w:hint="eastAsia" w:ascii="宋体" w:hAnsi="宋体" w:cs="宋体"/>
          <w:sz w:val="24"/>
          <w:szCs w:val="24"/>
          <w:highlight w:val="none"/>
          <w:lang w:val="en-US" w:eastAsia="zh-CN"/>
        </w:rPr>
        <w:t>1-1</w:t>
      </w:r>
      <w:r>
        <w:rPr>
          <w:rFonts w:hint="eastAsia" w:ascii="宋体" w:hAnsi="宋体" w:cs="宋体"/>
          <w:sz w:val="24"/>
          <w:szCs w:val="24"/>
          <w:highlight w:val="none"/>
          <w:lang w:eastAsia="zh-CN"/>
        </w:rPr>
        <w:t>、</w:t>
      </w:r>
      <w:r>
        <w:rPr>
          <w:rFonts w:hint="eastAsia" w:ascii="宋体" w:hAnsi="宋体" w:cs="宋体"/>
          <w:sz w:val="24"/>
          <w:szCs w:val="24"/>
          <w:highlight w:val="none"/>
        </w:rPr>
        <w:t>0</w:t>
      </w:r>
      <w:r>
        <w:rPr>
          <w:rFonts w:hint="eastAsia" w:ascii="宋体" w:hAnsi="宋体" w:cs="宋体"/>
          <w:sz w:val="24"/>
          <w:szCs w:val="24"/>
          <w:highlight w:val="none"/>
          <w:lang w:val="en-US" w:eastAsia="zh-CN"/>
        </w:rPr>
        <w:t>1-2</w:t>
      </w:r>
      <w:r>
        <w:rPr>
          <w:rFonts w:hint="eastAsia" w:ascii="宋体" w:hAnsi="宋体" w:cs="宋体"/>
          <w:sz w:val="24"/>
          <w:szCs w:val="24"/>
          <w:highlight w:val="none"/>
        </w:rPr>
        <w:t>标适用）</w:t>
      </w:r>
    </w:p>
    <w:p>
      <w:pPr>
        <w:spacing w:afterLines="50"/>
        <w:jc w:val="center"/>
        <w:rPr>
          <w:b/>
          <w:color w:val="000000"/>
          <w:sz w:val="44"/>
          <w:szCs w:val="44"/>
          <w:highlight w:val="none"/>
        </w:rPr>
      </w:pPr>
    </w:p>
    <w:p>
      <w:pPr>
        <w:spacing w:afterLines="50"/>
        <w:jc w:val="center"/>
        <w:rPr>
          <w:b/>
          <w:color w:val="000000"/>
          <w:sz w:val="44"/>
          <w:szCs w:val="44"/>
          <w:highlight w:val="none"/>
        </w:rPr>
      </w:pPr>
    </w:p>
    <w:p>
      <w:pPr>
        <w:spacing w:afterLines="50"/>
        <w:ind w:right="448"/>
        <w:jc w:val="right"/>
        <w:rPr>
          <w:rFonts w:ascii="宋体" w:hAnsi="宋体"/>
          <w:color w:val="000000"/>
          <w:sz w:val="30"/>
          <w:szCs w:val="30"/>
          <w:highlight w:val="none"/>
        </w:rPr>
      </w:pPr>
      <w:bookmarkStart w:id="27" w:name="_Toc114052336"/>
      <w:bookmarkStart w:id="28" w:name="_Toc114052410"/>
      <w:bookmarkStart w:id="29" w:name="_Toc286386830"/>
    </w:p>
    <w:p>
      <w:pPr>
        <w:spacing w:afterLines="50" w:afterAutospacing="0"/>
        <w:ind w:left="1014" w:right="448" w:hanging="1014" w:hangingChars="338"/>
        <w:jc w:val="right"/>
        <w:rPr>
          <w:rFonts w:ascii="宋体" w:hAnsi="宋体"/>
          <w:color w:val="000000"/>
          <w:sz w:val="30"/>
          <w:szCs w:val="30"/>
          <w:highlight w:val="none"/>
        </w:rPr>
      </w:pPr>
    </w:p>
    <w:p>
      <w:pPr>
        <w:spacing w:afterLines="50"/>
        <w:ind w:right="448"/>
        <w:jc w:val="right"/>
        <w:rPr>
          <w:rFonts w:ascii="宋体" w:hAnsi="宋体"/>
          <w:color w:val="000000"/>
          <w:sz w:val="30"/>
          <w:szCs w:val="30"/>
          <w:highlight w:val="none"/>
        </w:rPr>
        <w:sectPr>
          <w:headerReference r:id="rId6" w:type="first"/>
          <w:headerReference r:id="rId5" w:type="default"/>
          <w:footerReference r:id="rId7" w:type="default"/>
          <w:pgSz w:w="11906" w:h="16838"/>
          <w:pgMar w:top="1440" w:right="1701" w:bottom="1440" w:left="1701" w:header="851" w:footer="851" w:gutter="0"/>
          <w:cols w:space="720" w:num="1"/>
          <w:titlePg/>
          <w:docGrid w:linePitch="312" w:charSpace="0"/>
        </w:sectPr>
      </w:pPr>
    </w:p>
    <w:p>
      <w:pPr>
        <w:spacing w:afterLines="50"/>
        <w:ind w:right="448"/>
        <w:jc w:val="right"/>
        <w:rPr>
          <w:rFonts w:ascii="宋体" w:hAnsi="宋体"/>
          <w:color w:val="000000"/>
          <w:sz w:val="30"/>
          <w:szCs w:val="30"/>
          <w:highlight w:val="none"/>
        </w:rPr>
      </w:pPr>
      <w:r>
        <w:rPr>
          <w:rFonts w:hint="eastAsia" w:ascii="宋体" w:hAnsi="宋体"/>
          <w:sz w:val="30"/>
          <w:szCs w:val="30"/>
          <w:highlight w:val="none"/>
        </w:rPr>
        <w:t>【×本</w:t>
      </w:r>
      <w:r>
        <w:rPr>
          <w:rFonts w:hint="eastAsia" w:ascii="宋体" w:hAnsi="宋体"/>
          <w:color w:val="000000"/>
          <w:sz w:val="30"/>
          <w:szCs w:val="30"/>
          <w:highlight w:val="none"/>
        </w:rPr>
        <w:t>】</w:t>
      </w:r>
    </w:p>
    <w:bookmarkEnd w:id="27"/>
    <w:bookmarkEnd w:id="28"/>
    <w:bookmarkEnd w:id="29"/>
    <w:p>
      <w:pPr>
        <w:snapToGrid w:val="0"/>
        <w:spacing w:before="0" w:line="800" w:lineRule="exact"/>
        <w:ind w:left="1493" w:right="-28" w:hanging="1493" w:hangingChars="338"/>
        <w:jc w:val="center"/>
        <w:rPr>
          <w:rFonts w:ascii="楷体_GB2312" w:eastAsia="楷体_GB2312"/>
          <w:b/>
          <w:color w:val="000000"/>
          <w:sz w:val="44"/>
          <w:szCs w:val="44"/>
          <w:highlight w:val="none"/>
        </w:rPr>
      </w:pPr>
      <w:r>
        <w:rPr>
          <w:rFonts w:hint="eastAsia"/>
          <w:b/>
          <w:sz w:val="44"/>
          <w:szCs w:val="44"/>
          <w:highlight w:val="none"/>
        </w:rPr>
        <w:t>××</w:t>
      </w:r>
      <w:r>
        <w:rPr>
          <w:rFonts w:hint="eastAsia"/>
          <w:b/>
          <w:color w:val="000000"/>
          <w:sz w:val="44"/>
          <w:szCs w:val="44"/>
          <w:highlight w:val="none"/>
        </w:rPr>
        <w:t>采购项目</w:t>
      </w:r>
    </w:p>
    <w:tbl>
      <w:tblPr>
        <w:tblStyle w:val="2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项目编号：</w:t>
            </w:r>
          </w:p>
        </w:tc>
        <w:tc>
          <w:tcPr>
            <w:tcW w:w="4761" w:type="dxa"/>
          </w:tcPr>
          <w:p>
            <w:pPr>
              <w:spacing w:line="300" w:lineRule="exact"/>
              <w:jc w:val="left"/>
              <w:rPr>
                <w:rFonts w:ascii="宋体" w:hAnsi="宋体"/>
                <w:color w:val="000000"/>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000000"/>
                <w:sz w:val="28"/>
                <w:szCs w:val="30"/>
                <w:highlight w:val="none"/>
              </w:rPr>
            </w:pPr>
            <w:r>
              <w:rPr>
                <w:rFonts w:hint="eastAsia" w:ascii="宋体" w:hAnsi="宋体"/>
                <w:color w:val="000000"/>
                <w:sz w:val="28"/>
                <w:szCs w:val="30"/>
                <w:highlight w:val="none"/>
              </w:rPr>
              <w:t>合同编号：</w:t>
            </w:r>
          </w:p>
        </w:tc>
        <w:tc>
          <w:tcPr>
            <w:tcW w:w="4761" w:type="dxa"/>
          </w:tcPr>
          <w:p>
            <w:pPr>
              <w:spacing w:line="300" w:lineRule="exact"/>
              <w:jc w:val="left"/>
              <w:rPr>
                <w:rFonts w:ascii="宋体" w:hAnsi="宋体"/>
                <w:color w:val="000000"/>
                <w:sz w:val="28"/>
                <w:szCs w:val="30"/>
                <w:highlight w:val="none"/>
              </w:rPr>
            </w:pPr>
          </w:p>
        </w:tc>
      </w:tr>
    </w:tbl>
    <w:p>
      <w:pPr>
        <w:spacing w:line="800" w:lineRule="exact"/>
        <w:ind w:left="2443" w:right="-28" w:hanging="2443" w:hangingChars="338"/>
        <w:jc w:val="center"/>
        <w:rPr>
          <w:rFonts w:ascii="楷体_GB2312" w:eastAsia="楷体_GB2312"/>
          <w:b/>
          <w:color w:val="000000"/>
          <w:sz w:val="72"/>
          <w:szCs w:val="52"/>
          <w:highlight w:val="none"/>
        </w:rPr>
      </w:pPr>
      <w:r>
        <w:rPr>
          <w:rFonts w:hint="eastAsia"/>
          <w:b/>
          <w:color w:val="000000"/>
          <w:sz w:val="72"/>
          <w:szCs w:val="52"/>
          <w:highlight w:val="none"/>
        </w:rPr>
        <w:t>合</w:t>
      </w:r>
    </w:p>
    <w:p>
      <w:pPr>
        <w:spacing w:line="800" w:lineRule="exact"/>
        <w:ind w:left="2443" w:right="-28" w:hanging="2443" w:hangingChars="338"/>
        <w:jc w:val="center"/>
        <w:rPr>
          <w:rFonts w:ascii="宋体" w:hAnsi="宋体"/>
          <w:b/>
          <w:color w:val="000000"/>
          <w:sz w:val="72"/>
          <w:szCs w:val="52"/>
          <w:highlight w:val="none"/>
        </w:rPr>
      </w:pPr>
      <w:r>
        <w:rPr>
          <w:rFonts w:hint="eastAsia"/>
          <w:b/>
          <w:color w:val="000000"/>
          <w:sz w:val="72"/>
          <w:szCs w:val="52"/>
          <w:highlight w:val="none"/>
        </w:rPr>
        <w:t>同</w:t>
      </w:r>
    </w:p>
    <w:p>
      <w:pPr>
        <w:spacing w:line="800" w:lineRule="exact"/>
        <w:ind w:left="2443" w:right="-28" w:hanging="2443" w:hangingChars="338"/>
        <w:jc w:val="center"/>
        <w:rPr>
          <w:b/>
          <w:color w:val="000000"/>
          <w:sz w:val="72"/>
          <w:szCs w:val="52"/>
          <w:highlight w:val="none"/>
        </w:rPr>
      </w:pPr>
      <w:r>
        <w:rPr>
          <w:rFonts w:hint="eastAsia"/>
          <w:b/>
          <w:color w:val="000000"/>
          <w:sz w:val="72"/>
          <w:szCs w:val="52"/>
          <w:highlight w:val="none"/>
        </w:rPr>
        <w:t>书</w:t>
      </w:r>
    </w:p>
    <w:p>
      <w:pPr>
        <w:jc w:val="center"/>
        <w:rPr>
          <w:rFonts w:ascii="宋体" w:hAnsi="宋体"/>
          <w:b/>
          <w:color w:val="000000"/>
          <w:sz w:val="52"/>
          <w:highlight w:val="none"/>
        </w:rPr>
      </w:pPr>
      <w:r>
        <w:rPr>
          <w:rFonts w:hint="eastAsia" w:ascii="宋体" w:hAnsi="宋体"/>
          <w:b/>
          <w:color w:val="000000"/>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甲    方：</w:t>
      </w:r>
    </w:p>
    <w:p>
      <w:pPr>
        <w:snapToGrid w:val="0"/>
        <w:spacing w:before="0" w:line="400" w:lineRule="exact"/>
        <w:ind w:firstLine="1405" w:firstLineChars="500"/>
        <w:rPr>
          <w:color w:val="000000"/>
          <w:sz w:val="28"/>
          <w:szCs w:val="28"/>
          <w:highlight w:val="none"/>
        </w:rPr>
      </w:pPr>
      <w:r>
        <w:rPr>
          <w:rFonts w:hint="eastAsia" w:ascii="宋体" w:hAnsi="宋体"/>
          <w:b/>
          <w:color w:val="000000"/>
          <w:sz w:val="28"/>
          <w:szCs w:val="28"/>
          <w:highlight w:val="none"/>
        </w:rPr>
        <w:t>乙    方：</w:t>
      </w:r>
    </w:p>
    <w:p>
      <w:pPr>
        <w:snapToGrid w:val="0"/>
        <w:spacing w:before="0" w:line="400" w:lineRule="exact"/>
        <w:ind w:firstLine="1405" w:firstLineChars="500"/>
        <w:rPr>
          <w:rFonts w:ascii="宋体" w:hAnsi="宋体"/>
          <w:b/>
          <w:color w:val="000000"/>
          <w:sz w:val="28"/>
          <w:szCs w:val="28"/>
          <w:highlight w:val="none"/>
        </w:rPr>
      </w:pPr>
      <w:r>
        <w:rPr>
          <w:rFonts w:hint="eastAsia" w:ascii="宋体" w:hAnsi="宋体"/>
          <w:b/>
          <w:color w:val="000000"/>
          <w:sz w:val="28"/>
          <w:szCs w:val="28"/>
          <w:highlight w:val="none"/>
        </w:rPr>
        <w:t>签约日期：</w:t>
      </w:r>
      <w:r>
        <w:rPr>
          <w:rFonts w:hint="eastAsia" w:ascii="宋体" w:hAnsi="宋体"/>
          <w:color w:val="000000"/>
          <w:sz w:val="28"/>
          <w:szCs w:val="28"/>
          <w:highlight w:val="none"/>
        </w:rPr>
        <w:t>年</w:t>
      </w:r>
      <w:r>
        <w:rPr>
          <w:rFonts w:hint="eastAsia" w:ascii="宋体" w:hAnsi="宋体"/>
          <w:b/>
          <w:bCs/>
          <w:color w:val="000000"/>
          <w:sz w:val="28"/>
          <w:szCs w:val="28"/>
          <w:highlight w:val="none"/>
          <w:u w:val="single"/>
        </w:rPr>
        <w:t xml:space="preserve">　 </w:t>
      </w:r>
      <w:r>
        <w:rPr>
          <w:rFonts w:hint="eastAsia" w:ascii="宋体" w:hAnsi="宋体"/>
          <w:color w:val="000000"/>
          <w:sz w:val="28"/>
          <w:szCs w:val="28"/>
          <w:highlight w:val="none"/>
          <w:u w:val="single"/>
        </w:rPr>
        <w:t>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napToGrid w:val="0"/>
        <w:spacing w:before="0" w:line="400" w:lineRule="exact"/>
        <w:ind w:right="-86" w:rightChars="-41" w:firstLine="1405" w:firstLineChars="500"/>
        <w:rPr>
          <w:rFonts w:ascii="宋体" w:hAnsi="宋体"/>
          <w:b/>
          <w:bCs/>
          <w:sz w:val="28"/>
          <w:szCs w:val="28"/>
          <w:highlight w:val="none"/>
        </w:rPr>
      </w:pPr>
      <w:r>
        <w:rPr>
          <w:rFonts w:hint="eastAsia" w:ascii="宋体" w:hAnsi="宋体"/>
          <w:b/>
          <w:color w:val="000000"/>
          <w:sz w:val="28"/>
          <w:szCs w:val="28"/>
          <w:highlight w:val="none"/>
        </w:rPr>
        <w:t>签约</w:t>
      </w:r>
      <w:r>
        <w:rPr>
          <w:rFonts w:hint="eastAsia" w:ascii="宋体" w:hAnsi="宋体"/>
          <w:b/>
          <w:bCs/>
          <w:color w:val="000000"/>
          <w:sz w:val="28"/>
          <w:szCs w:val="28"/>
          <w:highlight w:val="none"/>
        </w:rPr>
        <w:t>地点：</w:t>
      </w:r>
      <w:r>
        <w:rPr>
          <w:rFonts w:hint="eastAsia" w:ascii="宋体" w:hAnsi="宋体"/>
          <w:color w:val="000000"/>
          <w:sz w:val="28"/>
          <w:szCs w:val="28"/>
          <w:highlight w:val="none"/>
        </w:rPr>
        <w:t>广西壮族自治区南宁市</w:t>
      </w:r>
      <w:bookmarkStart w:id="30" w:name="_Toc369787000"/>
      <w:bookmarkEnd w:id="30"/>
    </w:p>
    <w:p>
      <w:pPr>
        <w:pStyle w:val="23"/>
        <w:tabs>
          <w:tab w:val="right" w:leader="dot" w:pos="9069"/>
        </w:tabs>
        <w:snapToGrid w:val="0"/>
        <w:spacing w:line="240" w:lineRule="auto"/>
        <w:jc w:val="center"/>
        <w:rPr>
          <w:rFonts w:ascii="宋体" w:hAnsi="宋体"/>
          <w:b/>
          <w:bCs/>
          <w:sz w:val="28"/>
          <w:szCs w:val="28"/>
          <w:highlight w:val="none"/>
        </w:rPr>
        <w:sectPr>
          <w:pgSz w:w="11906" w:h="16838"/>
          <w:pgMar w:top="1440" w:right="1701" w:bottom="1440" w:left="1701" w:header="851" w:footer="851" w:gutter="0"/>
          <w:cols w:space="720" w:num="1"/>
          <w:titlePg/>
          <w:docGrid w:linePitch="312" w:charSpace="0"/>
        </w:sectPr>
      </w:pPr>
    </w:p>
    <w:p>
      <w:pPr>
        <w:pStyle w:val="23"/>
        <w:tabs>
          <w:tab w:val="right" w:leader="dot" w:pos="9069"/>
        </w:tabs>
        <w:snapToGrid w:val="0"/>
        <w:spacing w:line="240" w:lineRule="auto"/>
        <w:jc w:val="center"/>
        <w:rPr>
          <w:rFonts w:ascii="宋体" w:hAnsi="宋体"/>
          <w:b/>
          <w:bCs/>
          <w:sz w:val="28"/>
          <w:szCs w:val="28"/>
          <w:highlight w:val="none"/>
        </w:rPr>
      </w:pPr>
      <w:r>
        <w:rPr>
          <w:rFonts w:hint="eastAsia" w:ascii="宋体" w:hAnsi="宋体"/>
          <w:b/>
          <w:bCs/>
          <w:sz w:val="28"/>
          <w:szCs w:val="28"/>
          <w:highlight w:val="none"/>
        </w:rPr>
        <w:t>合同目录</w:t>
      </w:r>
    </w:p>
    <w:p>
      <w:pPr>
        <w:pStyle w:val="23"/>
        <w:tabs>
          <w:tab w:val="right" w:leader="dot" w:pos="9069"/>
        </w:tabs>
        <w:snapToGrid w:val="0"/>
        <w:spacing w:before="0"/>
        <w:ind w:left="0" w:right="0"/>
        <w:jc w:val="left"/>
        <w:rPr>
          <w:b/>
          <w:bCs/>
          <w:highlight w:val="none"/>
        </w:rPr>
      </w:pPr>
      <w:r>
        <w:rPr>
          <w:highlight w:val="none"/>
        </w:rPr>
        <w:fldChar w:fldCharType="begin"/>
      </w:r>
      <w:r>
        <w:rPr>
          <w:highlight w:val="none"/>
        </w:rPr>
        <w:instrText xml:space="preserve"> HYPERLINK \l "_Toc7011" </w:instrText>
      </w:r>
      <w:r>
        <w:rPr>
          <w:highlight w:val="none"/>
        </w:rPr>
        <w:fldChar w:fldCharType="separate"/>
      </w:r>
      <w:r>
        <w:rPr>
          <w:rFonts w:hint="eastAsia" w:ascii="宋体" w:hAnsi="宋体"/>
          <w:b/>
          <w:bCs/>
          <w:szCs w:val="24"/>
          <w:highlight w:val="none"/>
        </w:rPr>
        <w:t>第一部分 合同协议书</w:t>
      </w:r>
      <w:r>
        <w:rPr>
          <w:rFonts w:hint="eastAsia" w:ascii="宋体" w:hAnsi="宋体"/>
          <w:b/>
          <w:bCs/>
          <w:szCs w:val="24"/>
          <w:highlight w:val="none"/>
        </w:rPr>
        <w:fldChar w:fldCharType="end"/>
      </w:r>
    </w:p>
    <w:p>
      <w:pPr>
        <w:pStyle w:val="23"/>
        <w:tabs>
          <w:tab w:val="right" w:leader="dot" w:pos="9069"/>
        </w:tabs>
        <w:snapToGrid w:val="0"/>
        <w:spacing w:before="0"/>
        <w:ind w:left="0" w:right="0"/>
        <w:jc w:val="left"/>
        <w:rPr>
          <w:b/>
          <w:bCs/>
          <w:highlight w:val="none"/>
        </w:rPr>
      </w:pPr>
      <w:r>
        <w:rPr>
          <w:highlight w:val="none"/>
        </w:rPr>
        <w:fldChar w:fldCharType="begin"/>
      </w:r>
      <w:r>
        <w:rPr>
          <w:highlight w:val="none"/>
        </w:rPr>
        <w:instrText xml:space="preserve"> HYPERLINK \l "_Toc29350" </w:instrText>
      </w:r>
      <w:r>
        <w:rPr>
          <w:highlight w:val="none"/>
        </w:rPr>
        <w:fldChar w:fldCharType="separate"/>
      </w:r>
      <w:r>
        <w:rPr>
          <w:b/>
          <w:bCs/>
          <w:highlight w:val="none"/>
        </w:rPr>
        <w:t>第二部分</w:t>
      </w:r>
      <w:r>
        <w:rPr>
          <w:rFonts w:hint="eastAsia"/>
          <w:b/>
          <w:bCs/>
          <w:highlight w:val="none"/>
        </w:rPr>
        <w:t xml:space="preserve"> 中</w:t>
      </w:r>
      <w:r>
        <w:rPr>
          <w:rFonts w:hint="eastAsia"/>
          <w:b/>
          <w:bCs/>
          <w:highlight w:val="none"/>
          <w:lang w:val="en-US" w:eastAsia="zh-CN"/>
        </w:rPr>
        <w:t>选</w:t>
      </w:r>
      <w:r>
        <w:rPr>
          <w:rFonts w:hint="eastAsia"/>
          <w:b/>
          <w:bCs/>
          <w:highlight w:val="none"/>
        </w:rPr>
        <w:t>通知书</w:t>
      </w:r>
      <w:r>
        <w:rPr>
          <w:rFonts w:hint="eastAsia"/>
          <w:b/>
          <w:bCs/>
          <w:highlight w:val="none"/>
        </w:rPr>
        <w:fldChar w:fldCharType="end"/>
      </w:r>
    </w:p>
    <w:p>
      <w:pPr>
        <w:pStyle w:val="23"/>
        <w:spacing w:before="0"/>
        <w:ind w:left="0" w:right="0"/>
        <w:jc w:val="left"/>
        <w:rPr>
          <w:highlight w:val="none"/>
        </w:rPr>
      </w:pPr>
      <w:r>
        <w:rPr>
          <w:highlight w:val="none"/>
        </w:rPr>
        <w:fldChar w:fldCharType="begin"/>
      </w:r>
      <w:r>
        <w:rPr>
          <w:highlight w:val="none"/>
        </w:rPr>
        <w:instrText xml:space="preserve"> HYPERLINK \l "_Toc9690" </w:instrText>
      </w:r>
      <w:r>
        <w:rPr>
          <w:highlight w:val="none"/>
        </w:rPr>
        <w:fldChar w:fldCharType="separate"/>
      </w:r>
      <w:r>
        <w:rPr>
          <w:b/>
          <w:bCs/>
          <w:highlight w:val="none"/>
        </w:rPr>
        <w:t>第</w:t>
      </w:r>
      <w:r>
        <w:rPr>
          <w:rFonts w:hint="eastAsia"/>
          <w:b/>
          <w:bCs/>
          <w:highlight w:val="none"/>
        </w:rPr>
        <w:t>三</w:t>
      </w:r>
      <w:r>
        <w:rPr>
          <w:b/>
          <w:bCs/>
          <w:highlight w:val="none"/>
        </w:rPr>
        <w:t>部分</w:t>
      </w:r>
      <w:r>
        <w:rPr>
          <w:rFonts w:hint="eastAsia"/>
          <w:b/>
          <w:bCs/>
          <w:highlight w:val="none"/>
        </w:rPr>
        <w:t xml:space="preserve"> 价格组成文件</w:t>
      </w:r>
      <w:r>
        <w:rPr>
          <w:b/>
          <w:bCs/>
          <w:highlight w:val="none"/>
        </w:rPr>
        <w:tab/>
      </w:r>
      <w:r>
        <w:rPr>
          <w:b/>
          <w:bCs/>
          <w:highlight w:val="none"/>
        </w:rPr>
        <w:fldChar w:fldCharType="end"/>
      </w:r>
    </w:p>
    <w:p>
      <w:pPr>
        <w:pStyle w:val="23"/>
        <w:tabs>
          <w:tab w:val="right" w:leader="dot" w:pos="9069"/>
        </w:tabs>
        <w:snapToGrid w:val="0"/>
        <w:spacing w:before="0"/>
        <w:ind w:left="0" w:right="0"/>
        <w:jc w:val="left"/>
        <w:rPr>
          <w:b/>
          <w:bCs/>
          <w:highlight w:val="none"/>
        </w:rPr>
      </w:pPr>
      <w:r>
        <w:rPr>
          <w:highlight w:val="none"/>
        </w:rPr>
        <w:fldChar w:fldCharType="begin"/>
      </w:r>
      <w:r>
        <w:rPr>
          <w:highlight w:val="none"/>
        </w:rPr>
        <w:instrText xml:space="preserve"> HYPERLINK \l "_Toc16859" </w:instrText>
      </w:r>
      <w:r>
        <w:rPr>
          <w:highlight w:val="none"/>
        </w:rPr>
        <w:fldChar w:fldCharType="separate"/>
      </w:r>
      <w:r>
        <w:rPr>
          <w:rFonts w:hint="eastAsia" w:ascii="宋体" w:hAnsi="宋体"/>
          <w:b/>
          <w:bCs/>
          <w:szCs w:val="24"/>
          <w:highlight w:val="none"/>
        </w:rPr>
        <w:t>第四部分 合同条款</w:t>
      </w:r>
      <w:r>
        <w:rPr>
          <w:rFonts w:hint="eastAsia" w:ascii="宋体" w:hAnsi="宋体"/>
          <w:b/>
          <w:bCs/>
          <w:szCs w:val="24"/>
          <w:highlight w:val="none"/>
        </w:rPr>
        <w:fldChar w:fldCharType="end"/>
      </w:r>
    </w:p>
    <w:p>
      <w:pPr>
        <w:pStyle w:val="23"/>
        <w:tabs>
          <w:tab w:val="right" w:leader="dot" w:pos="9069"/>
        </w:tabs>
        <w:snapToGrid w:val="0"/>
        <w:spacing w:before="0"/>
        <w:ind w:left="0" w:right="0"/>
        <w:jc w:val="left"/>
        <w:rPr>
          <w:b/>
          <w:bCs/>
          <w:highlight w:val="none"/>
        </w:rPr>
      </w:pPr>
      <w:r>
        <w:rPr>
          <w:b/>
          <w:bCs/>
          <w:highlight w:val="none"/>
        </w:rPr>
        <w:t>第</w:t>
      </w:r>
      <w:r>
        <w:rPr>
          <w:rFonts w:hint="eastAsia"/>
          <w:b/>
          <w:bCs/>
          <w:highlight w:val="none"/>
        </w:rPr>
        <w:t>五</w:t>
      </w:r>
      <w:r>
        <w:rPr>
          <w:b/>
          <w:bCs/>
          <w:highlight w:val="none"/>
        </w:rPr>
        <w:t>部分</w:t>
      </w:r>
      <w:r>
        <w:rPr>
          <w:rFonts w:hint="eastAsia"/>
          <w:b/>
          <w:bCs/>
          <w:highlight w:val="none"/>
        </w:rPr>
        <w:t xml:space="preserve"> 技术规格书</w:t>
      </w:r>
    </w:p>
    <w:p>
      <w:pPr>
        <w:pStyle w:val="23"/>
        <w:tabs>
          <w:tab w:val="right" w:leader="dot" w:pos="9069"/>
        </w:tabs>
        <w:snapToGrid w:val="0"/>
        <w:spacing w:before="0"/>
        <w:ind w:left="0" w:right="0"/>
        <w:jc w:val="left"/>
        <w:rPr>
          <w:highlight w:val="none"/>
        </w:rPr>
      </w:pPr>
      <w:r>
        <w:rPr>
          <w:highlight w:val="none"/>
        </w:rPr>
        <w:fldChar w:fldCharType="begin"/>
      </w:r>
      <w:r>
        <w:rPr>
          <w:highlight w:val="none"/>
        </w:rPr>
        <w:instrText xml:space="preserve"> HYPERLINK \l "_Toc103" </w:instrText>
      </w:r>
      <w:r>
        <w:rPr>
          <w:highlight w:val="none"/>
        </w:rPr>
        <w:fldChar w:fldCharType="separate"/>
      </w:r>
      <w:r>
        <w:rPr>
          <w:rFonts w:ascii="宋体" w:hAnsi="宋体"/>
          <w:b/>
          <w:bCs/>
          <w:iCs/>
          <w:highlight w:val="none"/>
        </w:rPr>
        <w:t>第</w:t>
      </w:r>
      <w:r>
        <w:rPr>
          <w:rFonts w:hint="eastAsia" w:ascii="宋体" w:hAnsi="宋体"/>
          <w:b/>
          <w:bCs/>
          <w:iCs/>
          <w:highlight w:val="none"/>
        </w:rPr>
        <w:t>六</w:t>
      </w:r>
      <w:r>
        <w:rPr>
          <w:rFonts w:ascii="宋体" w:hAnsi="宋体"/>
          <w:b/>
          <w:bCs/>
          <w:iCs/>
          <w:highlight w:val="none"/>
        </w:rPr>
        <w:t>部分</w:t>
      </w:r>
      <w:r>
        <w:rPr>
          <w:rFonts w:hint="eastAsia" w:ascii="宋体" w:hAnsi="宋体"/>
          <w:b/>
          <w:bCs/>
          <w:iCs/>
          <w:highlight w:val="none"/>
        </w:rPr>
        <w:t xml:space="preserve"> </w:t>
      </w:r>
      <w:r>
        <w:rPr>
          <w:rFonts w:ascii="宋体" w:hAnsi="宋体"/>
          <w:b/>
          <w:bCs/>
          <w:iCs/>
          <w:highlight w:val="none"/>
        </w:rPr>
        <w:t>合同附件</w:t>
      </w:r>
      <w:r>
        <w:rPr>
          <w:rFonts w:ascii="宋体" w:hAnsi="宋体"/>
          <w:b/>
          <w:bCs/>
          <w:iCs/>
          <w:highlight w:val="none"/>
        </w:rPr>
        <w:fldChar w:fldCharType="end"/>
      </w:r>
    </w:p>
    <w:p>
      <w:pPr>
        <w:pStyle w:val="23"/>
        <w:tabs>
          <w:tab w:val="right" w:leader="dot" w:pos="9069"/>
        </w:tabs>
        <w:snapToGrid w:val="0"/>
        <w:spacing w:before="0"/>
        <w:ind w:left="0" w:right="0"/>
        <w:jc w:val="left"/>
        <w:rPr>
          <w:b/>
          <w:bCs/>
          <w:highlight w:val="none"/>
        </w:rPr>
      </w:pPr>
      <w:r>
        <w:rPr>
          <w:highlight w:val="none"/>
        </w:rPr>
        <w:fldChar w:fldCharType="begin"/>
      </w:r>
      <w:r>
        <w:rPr>
          <w:highlight w:val="none"/>
        </w:rPr>
        <w:instrText xml:space="preserve"> HYPERLINK \l "_Toc103" </w:instrText>
      </w:r>
      <w:r>
        <w:rPr>
          <w:highlight w:val="none"/>
        </w:rPr>
        <w:fldChar w:fldCharType="separate"/>
      </w:r>
      <w:r>
        <w:rPr>
          <w:rFonts w:ascii="宋体" w:hAnsi="宋体"/>
          <w:b/>
          <w:bCs/>
          <w:iCs/>
          <w:highlight w:val="none"/>
        </w:rPr>
        <w:t>第</w:t>
      </w:r>
      <w:r>
        <w:rPr>
          <w:rFonts w:hint="eastAsia" w:ascii="宋体" w:hAnsi="宋体"/>
          <w:b/>
          <w:bCs/>
          <w:iCs/>
          <w:highlight w:val="none"/>
        </w:rPr>
        <w:t>七</w:t>
      </w:r>
      <w:r>
        <w:rPr>
          <w:rFonts w:ascii="宋体" w:hAnsi="宋体"/>
          <w:b/>
          <w:bCs/>
          <w:iCs/>
          <w:highlight w:val="none"/>
        </w:rPr>
        <w:t>部分</w:t>
      </w:r>
      <w:r>
        <w:rPr>
          <w:rFonts w:hint="eastAsia" w:ascii="宋体" w:hAnsi="宋体"/>
          <w:b/>
          <w:bCs/>
          <w:iCs/>
          <w:highlight w:val="none"/>
        </w:rPr>
        <w:t xml:space="preserve"> </w:t>
      </w:r>
      <w:r>
        <w:rPr>
          <w:rFonts w:hint="eastAsia" w:ascii="宋体" w:hAnsi="宋体"/>
          <w:b/>
          <w:bCs/>
          <w:iCs/>
          <w:highlight w:val="none"/>
          <w:lang w:val="en-US" w:eastAsia="zh-CN"/>
        </w:rPr>
        <w:t>询比价</w:t>
      </w:r>
      <w:r>
        <w:rPr>
          <w:rFonts w:hint="eastAsia" w:ascii="宋体" w:hAnsi="宋体"/>
          <w:b/>
          <w:bCs/>
          <w:iCs/>
          <w:highlight w:val="none"/>
        </w:rPr>
        <w:t>文件</w:t>
      </w:r>
      <w:r>
        <w:rPr>
          <w:rFonts w:hint="eastAsia" w:ascii="宋体" w:hAnsi="宋体"/>
          <w:b/>
          <w:bCs/>
          <w:iCs/>
          <w:highlight w:val="none"/>
        </w:rPr>
        <w:fldChar w:fldCharType="end"/>
      </w:r>
      <w:r>
        <w:rPr>
          <w:rFonts w:hint="eastAsia" w:ascii="宋体" w:hAnsi="宋体"/>
          <w:b/>
          <w:bCs/>
          <w:iCs/>
          <w:highlight w:val="none"/>
        </w:rPr>
        <w:t>（含询比价文件补充文件）</w:t>
      </w:r>
    </w:p>
    <w:p>
      <w:pPr>
        <w:pStyle w:val="23"/>
        <w:tabs>
          <w:tab w:val="right" w:leader="dot" w:pos="9069"/>
        </w:tabs>
        <w:snapToGrid w:val="0"/>
        <w:spacing w:before="0"/>
        <w:ind w:left="0" w:right="0"/>
        <w:jc w:val="left"/>
        <w:rPr>
          <w:b/>
          <w:bCs/>
          <w:highlight w:val="none"/>
        </w:rPr>
      </w:pPr>
      <w:r>
        <w:rPr>
          <w:highlight w:val="none"/>
        </w:rPr>
        <w:fldChar w:fldCharType="begin"/>
      </w:r>
      <w:r>
        <w:rPr>
          <w:highlight w:val="none"/>
        </w:rPr>
        <w:instrText xml:space="preserve"> HYPERLINK \l "_Toc103" </w:instrText>
      </w:r>
      <w:r>
        <w:rPr>
          <w:highlight w:val="none"/>
        </w:rPr>
        <w:fldChar w:fldCharType="separate"/>
      </w:r>
      <w:r>
        <w:rPr>
          <w:rFonts w:ascii="宋体" w:hAnsi="宋体"/>
          <w:b/>
          <w:bCs/>
          <w:iCs/>
          <w:highlight w:val="none"/>
        </w:rPr>
        <w:t>第</w:t>
      </w:r>
      <w:r>
        <w:rPr>
          <w:rFonts w:hint="eastAsia" w:ascii="宋体" w:hAnsi="宋体"/>
          <w:b/>
          <w:bCs/>
          <w:iCs/>
          <w:highlight w:val="none"/>
        </w:rPr>
        <w:t>八</w:t>
      </w:r>
      <w:r>
        <w:rPr>
          <w:rFonts w:ascii="宋体" w:hAnsi="宋体"/>
          <w:b/>
          <w:bCs/>
          <w:iCs/>
          <w:highlight w:val="none"/>
        </w:rPr>
        <w:t>部分</w:t>
      </w:r>
      <w:r>
        <w:rPr>
          <w:rFonts w:hint="eastAsia" w:ascii="宋体" w:hAnsi="宋体"/>
          <w:b/>
          <w:bCs/>
          <w:iCs/>
          <w:highlight w:val="none"/>
        </w:rPr>
        <w:t xml:space="preserve"> </w:t>
      </w:r>
      <w:r>
        <w:rPr>
          <w:rFonts w:hint="eastAsia" w:ascii="宋体" w:hAnsi="宋体"/>
          <w:b/>
          <w:bCs/>
          <w:iCs/>
          <w:highlight w:val="none"/>
          <w:lang w:val="en-US" w:eastAsia="zh-CN"/>
        </w:rPr>
        <w:t>询比价申请</w:t>
      </w:r>
      <w:r>
        <w:rPr>
          <w:rFonts w:hint="eastAsia" w:ascii="宋体" w:hAnsi="宋体"/>
          <w:b/>
          <w:bCs/>
          <w:iCs/>
          <w:highlight w:val="none"/>
        </w:rPr>
        <w:t>文件</w:t>
      </w:r>
      <w:r>
        <w:rPr>
          <w:rFonts w:hint="eastAsia" w:ascii="宋体" w:hAnsi="宋体"/>
          <w:b/>
          <w:bCs/>
          <w:iCs/>
          <w:highlight w:val="none"/>
        </w:rPr>
        <w:fldChar w:fldCharType="end"/>
      </w:r>
      <w:r>
        <w:rPr>
          <w:rFonts w:hint="eastAsia" w:ascii="宋体" w:hAnsi="宋体"/>
          <w:b/>
          <w:bCs/>
          <w:iCs/>
          <w:highlight w:val="none"/>
        </w:rPr>
        <w:t>（含询比价申请补充文件）</w:t>
      </w:r>
    </w:p>
    <w:p>
      <w:pPr>
        <w:spacing w:before="0" w:after="0" w:afterAutospacing="0"/>
        <w:ind w:left="0" w:right="0" w:firstLine="420" w:firstLineChars="200"/>
        <w:jc w:val="left"/>
        <w:rPr>
          <w:rFonts w:ascii="宋体" w:hAnsi="宋体"/>
          <w:highlight w:val="none"/>
        </w:rPr>
      </w:pPr>
    </w:p>
    <w:p>
      <w:pPr>
        <w:pageBreakBefore/>
        <w:spacing w:before="0"/>
        <w:ind w:left="0" w:right="0" w:firstLine="0"/>
        <w:jc w:val="center"/>
        <w:outlineLvl w:val="1"/>
        <w:rPr>
          <w:rFonts w:ascii="宋体" w:hAnsi="宋体"/>
          <w:b/>
          <w:sz w:val="24"/>
          <w:szCs w:val="24"/>
          <w:highlight w:val="none"/>
        </w:rPr>
      </w:pPr>
      <w:bookmarkStart w:id="31" w:name="_Toc11687"/>
      <w:bookmarkStart w:id="32" w:name="_Toc27037"/>
      <w:bookmarkStart w:id="33" w:name="_Toc30987"/>
      <w:bookmarkStart w:id="34" w:name="_Toc22286"/>
      <w:bookmarkStart w:id="35" w:name="_Toc4649"/>
      <w:bookmarkStart w:id="36" w:name="_Toc8260"/>
      <w:bookmarkStart w:id="37" w:name="_Toc19166"/>
      <w:bookmarkStart w:id="38" w:name="_Toc17734"/>
      <w:bookmarkStart w:id="39" w:name="_Toc29927"/>
      <w:bookmarkStart w:id="40" w:name="_Toc22465"/>
      <w:bookmarkStart w:id="41" w:name="_Toc31072"/>
      <w:r>
        <w:rPr>
          <w:rFonts w:hint="eastAsia" w:ascii="宋体" w:hAnsi="宋体"/>
          <w:b/>
          <w:sz w:val="24"/>
          <w:szCs w:val="24"/>
          <w:highlight w:val="none"/>
        </w:rPr>
        <w:t>第一部分 合同协议书</w:t>
      </w:r>
      <w:bookmarkEnd w:id="31"/>
      <w:bookmarkEnd w:id="32"/>
    </w:p>
    <w:p>
      <w:pPr>
        <w:pStyle w:val="27"/>
        <w:ind w:firstLine="480"/>
        <w:rPr>
          <w:highlight w:val="none"/>
        </w:rPr>
      </w:pPr>
    </w:p>
    <w:p>
      <w:pPr>
        <w:snapToGrid w:val="0"/>
        <w:rPr>
          <w:rFonts w:ascii="宋体" w:hAnsi="宋体"/>
          <w:highlight w:val="none"/>
          <w:u w:val="single"/>
        </w:rPr>
      </w:pPr>
      <w:r>
        <w:rPr>
          <w:rFonts w:hint="eastAsia" w:ascii="宋体" w:hAnsi="宋体"/>
          <w:highlight w:val="none"/>
        </w:rPr>
        <w:t>甲方：</w:t>
      </w:r>
      <w:r>
        <w:rPr>
          <w:rFonts w:hint="eastAsia" w:ascii="宋体" w:hAnsi="宋体"/>
          <w:highlight w:val="none"/>
          <w:u w:val="single"/>
        </w:rPr>
        <w:t>南宁轨道交通运营有限公司</w:t>
      </w:r>
    </w:p>
    <w:p>
      <w:pPr>
        <w:snapToGrid w:val="0"/>
        <w:rPr>
          <w:rFonts w:ascii="宋体" w:hAnsi="宋体"/>
          <w:highlight w:val="none"/>
          <w:u w:val="single"/>
        </w:rPr>
      </w:pPr>
      <w:r>
        <w:rPr>
          <w:rFonts w:hint="eastAsia" w:ascii="宋体" w:hAnsi="宋体"/>
          <w:highlight w:val="none"/>
        </w:rPr>
        <w:t>乙方：</w:t>
      </w:r>
      <w:r>
        <w:rPr>
          <w:rFonts w:hint="eastAsia" w:ascii="宋体" w:hAnsi="宋体"/>
          <w:highlight w:val="none"/>
          <w:u w:val="single"/>
        </w:rPr>
        <w:t>（中</w:t>
      </w:r>
      <w:r>
        <w:rPr>
          <w:rFonts w:hint="eastAsia" w:ascii="宋体" w:hAnsi="宋体"/>
          <w:highlight w:val="none"/>
          <w:u w:val="single"/>
          <w:lang w:val="en-US" w:eastAsia="zh-CN"/>
        </w:rPr>
        <w:t>选</w:t>
      </w:r>
      <w:r>
        <w:rPr>
          <w:rFonts w:hint="eastAsia" w:ascii="宋体" w:hAnsi="宋体"/>
          <w:highlight w:val="none"/>
          <w:u w:val="single"/>
        </w:rPr>
        <w:t>单位全称）</w:t>
      </w:r>
    </w:p>
    <w:p>
      <w:pPr>
        <w:pStyle w:val="11"/>
        <w:snapToGrid w:val="0"/>
        <w:spacing w:line="360" w:lineRule="auto"/>
        <w:ind w:left="0" w:firstLine="420"/>
        <w:jc w:val="left"/>
        <w:rPr>
          <w:rFonts w:ascii="宋体" w:hAnsi="宋体"/>
          <w:sz w:val="21"/>
          <w:highlight w:val="none"/>
        </w:rPr>
      </w:pPr>
      <w:r>
        <w:rPr>
          <w:rFonts w:hint="eastAsia" w:ascii="宋体" w:hAnsi="宋体"/>
          <w:sz w:val="21"/>
          <w:highlight w:val="none"/>
          <w:u w:val="single"/>
        </w:rPr>
        <w:t>南宁轨道交通运营有限公司</w:t>
      </w:r>
      <w:r>
        <w:rPr>
          <w:rFonts w:hint="eastAsia" w:ascii="宋体" w:hAnsi="宋体"/>
          <w:sz w:val="21"/>
          <w:highlight w:val="none"/>
        </w:rPr>
        <w:t>（以下简称</w:t>
      </w:r>
      <w:r>
        <w:rPr>
          <w:rFonts w:ascii="宋体" w:hAnsi="宋体"/>
          <w:sz w:val="21"/>
          <w:highlight w:val="none"/>
        </w:rPr>
        <w:t>“</w:t>
      </w:r>
      <w:r>
        <w:rPr>
          <w:rFonts w:hint="eastAsia" w:ascii="宋体" w:hAnsi="宋体"/>
          <w:sz w:val="21"/>
          <w:highlight w:val="none"/>
        </w:rPr>
        <w:t>甲方</w:t>
      </w:r>
      <w:r>
        <w:rPr>
          <w:rFonts w:ascii="宋体" w:hAnsi="宋体"/>
          <w:sz w:val="21"/>
          <w:highlight w:val="none"/>
        </w:rPr>
        <w:t>”</w:t>
      </w:r>
      <w:r>
        <w:rPr>
          <w:rFonts w:hint="eastAsia" w:ascii="宋体" w:hAnsi="宋体"/>
          <w:sz w:val="21"/>
          <w:highlight w:val="none"/>
        </w:rPr>
        <w:t>）为实施</w:t>
      </w:r>
      <w:r>
        <w:rPr>
          <w:rFonts w:hint="eastAsia" w:ascii="宋体" w:hAnsi="宋体"/>
          <w:sz w:val="21"/>
          <w:highlight w:val="none"/>
          <w:lang w:eastAsia="zh-CN"/>
        </w:rPr>
        <w:t>南宁轨道交通运营有限公司特种作业取证、复审培训采购项目（2023年—2027年）</w:t>
      </w:r>
      <w:r>
        <w:rPr>
          <w:rFonts w:hint="eastAsia" w:ascii="宋体" w:hAnsi="宋体"/>
          <w:sz w:val="21"/>
          <w:highlight w:val="none"/>
        </w:rPr>
        <w:t>项目，</w:t>
      </w:r>
      <w:r>
        <w:rPr>
          <w:rFonts w:hint="eastAsia" w:ascii="宋体" w:hAnsi="宋体"/>
          <w:sz w:val="21"/>
          <w:highlight w:val="none"/>
          <w:u w:val="single"/>
        </w:rPr>
        <w:t xml:space="preserve">分标：    </w:t>
      </w:r>
      <w:r>
        <w:rPr>
          <w:rFonts w:hint="eastAsia" w:ascii="宋体" w:hAnsi="宋体"/>
          <w:sz w:val="21"/>
          <w:highlight w:val="none"/>
        </w:rPr>
        <w:t>已接受（以下简称</w:t>
      </w:r>
      <w:r>
        <w:rPr>
          <w:rFonts w:ascii="宋体" w:hAnsi="宋体"/>
          <w:sz w:val="21"/>
          <w:highlight w:val="none"/>
        </w:rPr>
        <w:t>“</w:t>
      </w:r>
      <w:r>
        <w:rPr>
          <w:rFonts w:hint="eastAsia" w:ascii="宋体" w:hAnsi="宋体"/>
          <w:sz w:val="21"/>
          <w:highlight w:val="none"/>
        </w:rPr>
        <w:t>乙方</w:t>
      </w:r>
      <w:r>
        <w:rPr>
          <w:rFonts w:ascii="宋体" w:hAnsi="宋体"/>
          <w:sz w:val="21"/>
          <w:highlight w:val="none"/>
        </w:rPr>
        <w:t>”</w:t>
      </w:r>
      <w:r>
        <w:rPr>
          <w:rFonts w:hint="eastAsia" w:ascii="宋体" w:hAnsi="宋体"/>
          <w:sz w:val="21"/>
          <w:highlight w:val="none"/>
        </w:rPr>
        <w:t>）对该项目的投标。甲、乙双方共同达成如下协议。</w:t>
      </w:r>
    </w:p>
    <w:p>
      <w:pPr>
        <w:widowControl w:val="0"/>
        <w:spacing w:afterAutospacing="0" w:line="240" w:lineRule="auto"/>
        <w:ind w:left="0" w:right="0" w:firstLine="420" w:firstLineChars="200"/>
        <w:rPr>
          <w:rFonts w:ascii="宋体" w:hAnsi="宋体"/>
          <w:highlight w:val="none"/>
        </w:rPr>
      </w:pPr>
      <w:bookmarkStart w:id="42" w:name="_Toc15497"/>
      <w:bookmarkStart w:id="43" w:name="_Toc12962"/>
      <w:r>
        <w:rPr>
          <w:rFonts w:hint="eastAsia" w:ascii="宋体" w:hAnsi="宋体"/>
          <w:highlight w:val="none"/>
        </w:rPr>
        <w:t>一、项目概况</w:t>
      </w:r>
      <w:bookmarkEnd w:id="42"/>
      <w:bookmarkEnd w:id="43"/>
    </w:p>
    <w:p>
      <w:pPr>
        <w:spacing w:before="0" w:after="0" w:afterAutospacing="0"/>
        <w:ind w:left="0" w:right="0" w:firstLine="420" w:firstLineChars="200"/>
        <w:rPr>
          <w:rFonts w:ascii="宋体" w:hAnsi="宋体"/>
          <w:highlight w:val="none"/>
          <w:u w:val="single"/>
        </w:rPr>
      </w:pPr>
      <w:bookmarkStart w:id="44" w:name="_Toc26414"/>
      <w:r>
        <w:rPr>
          <w:rFonts w:hint="eastAsia" w:ascii="宋体" w:hAnsi="宋体"/>
          <w:highlight w:val="none"/>
        </w:rPr>
        <w:t>项目名称：</w:t>
      </w:r>
      <w:r>
        <w:rPr>
          <w:rFonts w:hint="eastAsia" w:ascii="宋体" w:hAnsi="宋体"/>
          <w:highlight w:val="none"/>
          <w:lang w:eastAsia="zh-CN"/>
        </w:rPr>
        <w:t>南宁轨道交通运营有限公司特种作业取证、复审培训采购项目（2023年—2027年）</w:t>
      </w:r>
      <w:r>
        <w:rPr>
          <w:rFonts w:hint="eastAsia" w:ascii="宋体" w:hAnsi="宋体"/>
          <w:highlight w:val="none"/>
        </w:rPr>
        <w:t>服务地点：南宁市区内（不含武鸣区），能拥有固定的理论教室、独立固定的实操教室，并且有满足要求的指导老师进行实操培训。</w:t>
      </w:r>
    </w:p>
    <w:p>
      <w:pP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询比价</w:t>
      </w:r>
      <w:r>
        <w:rPr>
          <w:rFonts w:hint="eastAsia" w:ascii="宋体" w:hAnsi="宋体"/>
          <w:highlight w:val="none"/>
        </w:rPr>
        <w:t>范围：</w:t>
      </w:r>
    </w:p>
    <w:p>
      <w:pPr>
        <w:spacing w:before="0" w:after="0" w:afterAutospacing="0"/>
        <w:ind w:left="0" w:right="0" w:firstLine="420" w:firstLineChars="200"/>
        <w:rPr>
          <w:rFonts w:ascii="宋体" w:hAnsi="宋体"/>
          <w:highlight w:val="none"/>
        </w:rPr>
      </w:pPr>
      <w:r>
        <w:rPr>
          <w:rFonts w:hint="eastAsia" w:ascii="宋体" w:hAnsi="宋体"/>
          <w:highlight w:val="none"/>
          <w:lang w:val="en-US" w:eastAsia="zh-CN"/>
        </w:rPr>
        <w:t>01-1</w:t>
      </w:r>
      <w:r>
        <w:rPr>
          <w:rFonts w:hint="eastAsia" w:ascii="宋体" w:hAnsi="宋体"/>
          <w:highlight w:val="none"/>
        </w:rPr>
        <w:t>标：</w:t>
      </w:r>
      <w:r>
        <w:rPr>
          <w:rFonts w:hint="eastAsia" w:ascii="宋体" w:hAnsi="宋体" w:cs="宋体"/>
          <w:color w:val="000000"/>
          <w:sz w:val="22"/>
          <w:szCs w:val="22"/>
          <w:highlight w:val="none"/>
        </w:rPr>
        <w:t>低压电工作业证900本（</w:t>
      </w:r>
      <w:r>
        <w:rPr>
          <w:rFonts w:hint="eastAsia" w:ascii="宋体" w:hAnsi="宋体"/>
          <w:highlight w:val="none"/>
        </w:rPr>
        <w:t>新取证</w:t>
      </w:r>
      <w:r>
        <w:rPr>
          <w:rFonts w:hint="eastAsia" w:ascii="宋体" w:hAnsi="宋体" w:cs="宋体"/>
          <w:color w:val="000000"/>
          <w:sz w:val="22"/>
          <w:szCs w:val="22"/>
          <w:highlight w:val="none"/>
        </w:rPr>
        <w:t>）、低压电工作业证3700本（</w:t>
      </w:r>
      <w:r>
        <w:rPr>
          <w:rFonts w:hint="eastAsia" w:ascii="宋体" w:hAnsi="宋体"/>
          <w:highlight w:val="none"/>
        </w:rPr>
        <w:t>复审取证</w:t>
      </w:r>
      <w:r>
        <w:rPr>
          <w:rFonts w:hint="eastAsia" w:ascii="宋体" w:hAnsi="宋体" w:cs="宋体"/>
          <w:color w:val="000000"/>
          <w:sz w:val="22"/>
          <w:szCs w:val="22"/>
          <w:highlight w:val="none"/>
        </w:rPr>
        <w:t>）</w:t>
      </w:r>
      <w:r>
        <w:rPr>
          <w:rFonts w:hint="eastAsia" w:ascii="宋体" w:hAnsi="宋体"/>
          <w:highlight w:val="none"/>
        </w:rPr>
        <w:t>；焊接与热切割作业证35本（新取证）、焊接与热切割作业证330本（复审取证）；</w:t>
      </w:r>
    </w:p>
    <w:p>
      <w:pPr>
        <w:ind w:left="705" w:leftChars="200" w:hanging="285" w:hangingChars="136"/>
        <w:rPr>
          <w:rFonts w:hint="eastAsia" w:eastAsia="宋体"/>
          <w:highlight w:val="none"/>
          <w:lang w:eastAsia="zh-CN"/>
        </w:rPr>
      </w:pPr>
      <w:r>
        <w:rPr>
          <w:rFonts w:hint="eastAsia" w:ascii="宋体" w:hAnsi="宋体"/>
          <w:highlight w:val="none"/>
          <w:lang w:val="en-US" w:eastAsia="zh-CN"/>
        </w:rPr>
        <w:t>01-2</w:t>
      </w:r>
      <w:r>
        <w:rPr>
          <w:rFonts w:hint="eastAsia" w:ascii="宋体" w:hAnsi="宋体"/>
          <w:highlight w:val="none"/>
        </w:rPr>
        <w:t>标：高处作业证500本（新取证）、高处作业证2500本（复审取证）</w:t>
      </w:r>
      <w:r>
        <w:rPr>
          <w:rFonts w:hint="eastAsia" w:ascii="宋体" w:hAnsi="宋体"/>
          <w:highlight w:val="none"/>
          <w:lang w:eastAsia="zh-CN"/>
        </w:rPr>
        <w:t>。</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注：所有证书均为取得南宁市行政审批局核发的特种作业证书，</w:t>
      </w:r>
      <w:r>
        <w:rPr>
          <w:rFonts w:hint="eastAsia" w:ascii="宋体" w:hAnsi="宋体" w:cs="宋体"/>
          <w:kern w:val="2"/>
          <w:highlight w:val="none"/>
        </w:rPr>
        <w:t>培训的人员数量为预计数量，最终培训人数以</w:t>
      </w:r>
      <w:r>
        <w:rPr>
          <w:rFonts w:hint="eastAsia" w:ascii="宋体" w:hAnsi="宋体" w:cs="宋体"/>
          <w:kern w:val="2"/>
          <w:highlight w:val="none"/>
          <w:lang w:val="en-US" w:eastAsia="zh-CN"/>
        </w:rPr>
        <w:t>询比价</w:t>
      </w:r>
      <w:r>
        <w:rPr>
          <w:rFonts w:hint="eastAsia" w:ascii="宋体" w:hAnsi="宋体" w:cs="宋体"/>
          <w:kern w:val="2"/>
          <w:highlight w:val="none"/>
        </w:rPr>
        <w:t>人安排人数为准。</w:t>
      </w:r>
    </w:p>
    <w:p>
      <w:pPr>
        <w:spacing w:before="0" w:after="0" w:afterAutospacing="0"/>
        <w:ind w:left="0" w:right="0" w:firstLine="420" w:firstLineChars="200"/>
        <w:rPr>
          <w:rFonts w:ascii="宋体" w:hAnsi="宋体"/>
          <w:highlight w:val="none"/>
        </w:rPr>
      </w:pPr>
      <w:r>
        <w:rPr>
          <w:rFonts w:hint="eastAsia" w:ascii="宋体" w:hAnsi="宋体"/>
          <w:highlight w:val="none"/>
        </w:rPr>
        <w:t>二、</w:t>
      </w:r>
      <w:bookmarkEnd w:id="44"/>
      <w:r>
        <w:rPr>
          <w:rFonts w:hint="eastAsia" w:ascii="宋体" w:hAnsi="宋体"/>
          <w:highlight w:val="none"/>
        </w:rPr>
        <w:t>合同服务期：</w:t>
      </w:r>
      <w:r>
        <w:rPr>
          <w:rFonts w:hint="eastAsia" w:ascii="宋体" w:hAnsi="宋体" w:cs="宋体"/>
          <w:kern w:val="2"/>
          <w:highlight w:val="none"/>
        </w:rPr>
        <w:t>60个月，</w:t>
      </w:r>
      <w:r>
        <w:rPr>
          <w:rFonts w:hint="eastAsia" w:ascii="宋体" w:hAnsi="宋体" w:cs="宋体"/>
          <w:highlight w:val="none"/>
        </w:rPr>
        <w:t>中</w:t>
      </w:r>
      <w:r>
        <w:rPr>
          <w:rFonts w:hint="eastAsia" w:ascii="宋体" w:hAnsi="宋体" w:cs="宋体"/>
          <w:highlight w:val="none"/>
          <w:lang w:val="en-US" w:eastAsia="zh-CN"/>
        </w:rPr>
        <w:t>选</w:t>
      </w:r>
      <w:r>
        <w:rPr>
          <w:rFonts w:hint="eastAsia" w:ascii="宋体" w:hAnsi="宋体" w:cs="宋体"/>
          <w:highlight w:val="none"/>
        </w:rPr>
        <w:t>通知书发出起计算</w:t>
      </w:r>
      <w:r>
        <w:rPr>
          <w:rFonts w:hint="eastAsia" w:ascii="宋体" w:hAnsi="宋体"/>
          <w:highlight w:val="none"/>
        </w:rPr>
        <w:t>。</w:t>
      </w:r>
    </w:p>
    <w:p>
      <w:pPr>
        <w:widowControl w:val="0"/>
        <w:spacing w:before="0" w:after="0" w:afterAutospacing="0" w:line="440" w:lineRule="exact"/>
        <w:ind w:left="0" w:right="0" w:firstLine="420" w:firstLineChars="200"/>
        <w:rPr>
          <w:rFonts w:ascii="宋体" w:hAnsi="宋体"/>
          <w:highlight w:val="none"/>
        </w:rPr>
      </w:pPr>
      <w:r>
        <w:rPr>
          <w:rFonts w:hint="eastAsia" w:ascii="宋体" w:hAnsi="宋体"/>
          <w:highlight w:val="none"/>
        </w:rPr>
        <w:t>三、项目联系人：</w:t>
      </w:r>
    </w:p>
    <w:p>
      <w:pPr>
        <w:widowControl w:val="0"/>
        <w:spacing w:before="0" w:after="0" w:afterAutospacing="0" w:line="440" w:lineRule="exact"/>
        <w:ind w:left="0" w:right="0" w:firstLine="420" w:firstLineChars="200"/>
        <w:rPr>
          <w:rFonts w:ascii="宋体" w:hAnsi="宋体"/>
          <w:highlight w:val="none"/>
        </w:rPr>
      </w:pPr>
      <w:bookmarkStart w:id="45" w:name="_Toc27808"/>
      <w:r>
        <w:rPr>
          <w:rFonts w:hint="eastAsia" w:ascii="宋体" w:hAnsi="宋体"/>
          <w:highlight w:val="none"/>
        </w:rPr>
        <w:t>四、合同价款与合同价格形式</w:t>
      </w:r>
    </w:p>
    <w:p>
      <w:pPr>
        <w:widowControl w:val="0"/>
        <w:spacing w:before="0" w:after="0" w:afterAutospacing="0" w:line="440" w:lineRule="exact"/>
        <w:ind w:left="0" w:right="0" w:firstLine="420" w:firstLineChars="200"/>
        <w:rPr>
          <w:rFonts w:ascii="宋体" w:hAnsi="宋体"/>
          <w:b/>
          <w:bCs/>
          <w:highlight w:val="none"/>
        </w:rPr>
      </w:pPr>
      <w:r>
        <w:rPr>
          <w:rFonts w:hint="eastAsia" w:ascii="宋体" w:hAnsi="宋体"/>
          <w:highlight w:val="none"/>
        </w:rPr>
        <w:t>1．本合同不含增值税总价：人民币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)，（下文称“合同价格”）</w:t>
      </w:r>
      <w:r>
        <w:rPr>
          <w:rFonts w:hint="eastAsia" w:ascii="宋体" w:hAnsi="宋体"/>
          <w:highlight w:val="none"/>
        </w:rPr>
        <w:t>。</w:t>
      </w:r>
    </w:p>
    <w:p>
      <w:pPr>
        <w:spacing w:line="240" w:lineRule="auto"/>
        <w:rPr>
          <w:highlight w:val="none"/>
        </w:rPr>
      </w:pPr>
      <w:r>
        <w:rPr>
          <w:rFonts w:hint="eastAsia"/>
          <w:highlight w:val="none"/>
        </w:rPr>
        <w:t>其中：</w:t>
      </w:r>
    </w:p>
    <w:p>
      <w:pPr>
        <w:spacing w:line="240" w:lineRule="auto"/>
        <w:rPr>
          <w:rFonts w:ascii="宋体" w:hAnsi="宋体"/>
          <w:highlight w:val="none"/>
        </w:rPr>
      </w:pPr>
      <w:r>
        <w:rPr>
          <w:rFonts w:hint="eastAsia" w:ascii="宋体" w:hAnsi="宋体"/>
          <w:highlight w:val="none"/>
          <w:lang w:val="en-US" w:eastAsia="zh-CN"/>
        </w:rPr>
        <w:t>01-1</w:t>
      </w:r>
      <w:r>
        <w:rPr>
          <w:rFonts w:hint="eastAsia"/>
          <w:highlight w:val="none"/>
        </w:rPr>
        <w:t>标：</w:t>
      </w:r>
      <w:r>
        <w:rPr>
          <w:rFonts w:hint="eastAsia" w:ascii="宋体" w:hAnsi="宋体"/>
          <w:highlight w:val="none"/>
        </w:rPr>
        <w:t>低压电工作业证900本（新取证）不含增值税单价为：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spacing w:line="240" w:lineRule="auto"/>
        <w:rPr>
          <w:rFonts w:ascii="宋体" w:hAnsi="宋体"/>
          <w:highlight w:val="none"/>
          <w:u w:val="singl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ind w:left="0" w:firstLine="0"/>
        <w:rPr>
          <w:rFonts w:ascii="宋体" w:hAnsi="宋体"/>
          <w:highlight w:val="none"/>
        </w:rPr>
      </w:pPr>
      <w:r>
        <w:rPr>
          <w:rFonts w:hint="eastAsia" w:ascii="宋体" w:hAnsi="宋体"/>
          <w:highlight w:val="none"/>
        </w:rPr>
        <w:t>低压电工作业证3700本（复审取证）不含增值税单价为：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spacing w:line="240" w:lineRule="auto"/>
        <w:rPr>
          <w:rFonts w:ascii="宋体" w:hAnsi="宋体"/>
          <w:highlight w:val="none"/>
          <w:u w:val="singl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rPr>
          <w:rFonts w:ascii="宋体" w:hAnsi="宋体"/>
          <w:highlight w:val="none"/>
        </w:rPr>
      </w:pPr>
      <w:r>
        <w:rPr>
          <w:rFonts w:hint="eastAsia" w:ascii="宋体" w:hAnsi="宋体" w:cs="宋体"/>
          <w:color w:val="000000"/>
          <w:sz w:val="22"/>
          <w:szCs w:val="22"/>
          <w:highlight w:val="none"/>
        </w:rPr>
        <w:t>焊接与热切割作业证35本（</w:t>
      </w:r>
      <w:r>
        <w:rPr>
          <w:rFonts w:hint="eastAsia" w:ascii="宋体" w:hAnsi="宋体"/>
          <w:highlight w:val="none"/>
        </w:rPr>
        <w:t>新取证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pStyle w:val="2"/>
        <w:rPr>
          <w:highlight w:val="none"/>
        </w:rPr>
      </w:pPr>
      <w:r>
        <w:rPr>
          <w:rFonts w:hint="eastAsia" w:hAnsi="宋体"/>
          <w:highlight w:val="none"/>
        </w:rPr>
        <w:t>含税总价：人民币</w:t>
      </w:r>
      <w:r>
        <w:rPr>
          <w:rFonts w:hint="eastAsia" w:hAnsi="宋体"/>
          <w:highlight w:val="none"/>
          <w:u w:val="single"/>
        </w:rPr>
        <w:t xml:space="preserve">       (¥  )；</w:t>
      </w:r>
    </w:p>
    <w:p>
      <w:pPr>
        <w:spacing w:line="240" w:lineRule="auto"/>
        <w:rPr>
          <w:rFonts w:ascii="宋体" w:hAnsi="宋体"/>
          <w:highlight w:val="none"/>
        </w:rPr>
      </w:pPr>
      <w:r>
        <w:rPr>
          <w:rFonts w:hint="eastAsia" w:ascii="宋体" w:hAnsi="宋体" w:cs="宋体"/>
          <w:color w:val="000000"/>
          <w:sz w:val="22"/>
          <w:szCs w:val="22"/>
          <w:highlight w:val="none"/>
        </w:rPr>
        <w:t>焊接与热切割作业证330本（</w:t>
      </w:r>
      <w:r>
        <w:rPr>
          <w:rFonts w:hint="eastAsia" w:ascii="宋体" w:hAnsi="宋体"/>
          <w:highlight w:val="none"/>
        </w:rPr>
        <w:t>复审取证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rPr>
          <w:highlight w:val="non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rPr>
          <w:rFonts w:ascii="宋体" w:hAnsi="宋体"/>
          <w:highlight w:val="none"/>
        </w:rPr>
      </w:pPr>
      <w:r>
        <w:rPr>
          <w:rFonts w:hint="eastAsia" w:ascii="宋体" w:hAnsi="宋体"/>
          <w:highlight w:val="none"/>
          <w:lang w:val="en-US" w:eastAsia="zh-CN"/>
        </w:rPr>
        <w:t>01-2</w:t>
      </w:r>
      <w:r>
        <w:rPr>
          <w:rFonts w:hint="eastAsia"/>
          <w:highlight w:val="none"/>
        </w:rPr>
        <w:t>标：</w:t>
      </w:r>
      <w:r>
        <w:rPr>
          <w:rFonts w:hint="eastAsia" w:ascii="宋体" w:hAnsi="宋体" w:cs="宋体"/>
          <w:color w:val="000000"/>
          <w:sz w:val="22"/>
          <w:szCs w:val="22"/>
          <w:highlight w:val="none"/>
        </w:rPr>
        <w:t>高处作业证</w:t>
      </w:r>
      <w:r>
        <w:rPr>
          <w:rFonts w:ascii="宋体" w:hAnsi="宋体" w:cs="宋体"/>
          <w:color w:val="000000"/>
          <w:sz w:val="22"/>
          <w:szCs w:val="22"/>
          <w:highlight w:val="none"/>
        </w:rPr>
        <w:t>500本</w:t>
      </w:r>
      <w:r>
        <w:rPr>
          <w:rFonts w:hint="eastAsia" w:ascii="宋体" w:hAnsi="宋体" w:cs="宋体"/>
          <w:color w:val="000000"/>
          <w:sz w:val="22"/>
          <w:szCs w:val="22"/>
          <w:highlight w:val="none"/>
        </w:rPr>
        <w:t>（</w:t>
      </w:r>
      <w:r>
        <w:rPr>
          <w:rFonts w:hint="eastAsia" w:ascii="宋体" w:hAnsi="宋体"/>
          <w:highlight w:val="none"/>
        </w:rPr>
        <w:t>新取证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ascii="宋体" w:hAnsi="宋体"/>
          <w:highlight w:val="none"/>
          <w:u w:val="single"/>
        </w:rPr>
        <w:t xml:space="preserve">       (¥  )</w:t>
      </w:r>
      <w:r>
        <w:rPr>
          <w:rFonts w:hint="eastAsia" w:ascii="宋体" w:hAnsi="宋体"/>
          <w:highlight w:val="none"/>
        </w:rPr>
        <w:t>；增值税额：人民币</w:t>
      </w:r>
      <w:r>
        <w:rPr>
          <w:rFonts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w:t>
      </w:r>
      <w:r>
        <w:rPr>
          <w:rFonts w:ascii="宋体" w:hAnsi="宋体"/>
          <w:highlight w:val="none"/>
          <w:u w:val="single"/>
        </w:rPr>
        <w:t xml:space="preserve">  %</w:t>
      </w:r>
      <w:r>
        <w:rPr>
          <w:rFonts w:hint="eastAsia" w:ascii="宋体" w:hAnsi="宋体"/>
          <w:highlight w:val="none"/>
        </w:rPr>
        <w:t>；</w:t>
      </w:r>
    </w:p>
    <w:p>
      <w:pPr>
        <w:spacing w:line="240" w:lineRule="auto"/>
        <w:rPr>
          <w:highlight w:val="none"/>
        </w:rPr>
      </w:pPr>
      <w:r>
        <w:rPr>
          <w:rFonts w:hint="eastAsia" w:ascii="宋体" w:hAnsi="宋体"/>
          <w:highlight w:val="none"/>
        </w:rPr>
        <w:t>含税总价：人民币</w:t>
      </w:r>
      <w:r>
        <w:rPr>
          <w:rFonts w:ascii="宋体" w:hAnsi="宋体"/>
          <w:highlight w:val="none"/>
          <w:u w:val="single"/>
        </w:rPr>
        <w:t xml:space="preserve">       (¥  )</w:t>
      </w:r>
      <w:r>
        <w:rPr>
          <w:rFonts w:hint="eastAsia" w:ascii="宋体" w:hAnsi="宋体"/>
          <w:highlight w:val="none"/>
          <w:u w:val="single"/>
        </w:rPr>
        <w:t>；</w:t>
      </w:r>
    </w:p>
    <w:p>
      <w:pPr>
        <w:spacing w:line="240" w:lineRule="auto"/>
        <w:ind w:left="0" w:firstLine="0"/>
        <w:rPr>
          <w:rFonts w:ascii="宋体" w:hAnsi="宋体"/>
          <w:highlight w:val="none"/>
        </w:rPr>
      </w:pPr>
      <w:r>
        <w:rPr>
          <w:rFonts w:hint="eastAsia" w:ascii="宋体" w:hAnsi="宋体" w:cs="宋体"/>
          <w:color w:val="000000"/>
          <w:sz w:val="22"/>
          <w:szCs w:val="22"/>
          <w:highlight w:val="none"/>
        </w:rPr>
        <w:t>高处作业证</w:t>
      </w:r>
      <w:r>
        <w:rPr>
          <w:rFonts w:ascii="宋体" w:hAnsi="宋体" w:cs="宋体"/>
          <w:color w:val="000000"/>
          <w:sz w:val="22"/>
          <w:szCs w:val="22"/>
          <w:highlight w:val="none"/>
        </w:rPr>
        <w:t>2500本</w:t>
      </w:r>
      <w:r>
        <w:rPr>
          <w:rFonts w:hint="eastAsia" w:ascii="宋体" w:hAnsi="宋体" w:cs="宋体"/>
          <w:color w:val="000000"/>
          <w:sz w:val="22"/>
          <w:szCs w:val="22"/>
          <w:highlight w:val="none"/>
        </w:rPr>
        <w:t>（</w:t>
      </w:r>
      <w:r>
        <w:rPr>
          <w:rFonts w:hint="eastAsia" w:ascii="宋体" w:hAnsi="宋体"/>
          <w:highlight w:val="none"/>
        </w:rPr>
        <w:t>复审取证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ascii="宋体" w:hAnsi="宋体"/>
          <w:highlight w:val="none"/>
          <w:u w:val="single"/>
        </w:rPr>
        <w:t xml:space="preserve">       (¥  )</w:t>
      </w:r>
      <w:r>
        <w:rPr>
          <w:rFonts w:hint="eastAsia" w:ascii="宋体" w:hAnsi="宋体"/>
          <w:highlight w:val="none"/>
        </w:rPr>
        <w:t>；增值税额：人民币</w:t>
      </w:r>
      <w:r>
        <w:rPr>
          <w:rFonts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w:t>
      </w:r>
      <w:r>
        <w:rPr>
          <w:rFonts w:ascii="宋体" w:hAnsi="宋体"/>
          <w:highlight w:val="none"/>
          <w:u w:val="single"/>
        </w:rPr>
        <w:t xml:space="preserve">  %</w:t>
      </w:r>
      <w:r>
        <w:rPr>
          <w:rFonts w:hint="eastAsia" w:ascii="宋体" w:hAnsi="宋体"/>
          <w:highlight w:val="none"/>
        </w:rPr>
        <w:t>；</w:t>
      </w:r>
    </w:p>
    <w:p>
      <w:pPr>
        <w:pStyle w:val="2"/>
        <w:rPr>
          <w:rFonts w:hAnsi="宋体"/>
          <w:highlight w:val="none"/>
          <w:u w:val="single"/>
        </w:rPr>
      </w:pPr>
      <w:r>
        <w:rPr>
          <w:rFonts w:hint="eastAsia" w:hAnsi="宋体"/>
          <w:highlight w:val="none"/>
        </w:rPr>
        <w:t>含税总价：人民币</w:t>
      </w:r>
      <w:r>
        <w:rPr>
          <w:rFonts w:hAnsi="宋体"/>
          <w:highlight w:val="none"/>
          <w:u w:val="single"/>
        </w:rPr>
        <w:t xml:space="preserve">       (¥  )</w:t>
      </w:r>
      <w:r>
        <w:rPr>
          <w:rFonts w:hint="eastAsia" w:hAnsi="宋体"/>
          <w:highlight w:val="none"/>
          <w:u w:val="single"/>
        </w:rPr>
        <w:t>；</w:t>
      </w:r>
    </w:p>
    <w:p>
      <w:pPr>
        <w:spacing w:line="240" w:lineRule="auto"/>
        <w:rPr>
          <w:rFonts w:ascii="宋体" w:hAnsi="宋体"/>
          <w:highlight w:val="none"/>
          <w:u w:val="single"/>
        </w:rPr>
      </w:pPr>
    </w:p>
    <w:p>
      <w:pPr>
        <w:spacing w:line="240" w:lineRule="auto"/>
        <w:ind w:left="707" w:leftChars="200" w:hanging="287" w:hangingChars="136"/>
        <w:rPr>
          <w:rFonts w:ascii="宋体" w:hAnsi="宋体"/>
          <w:b/>
          <w:bCs/>
          <w:highlight w:val="none"/>
        </w:rPr>
      </w:pPr>
      <w:r>
        <w:rPr>
          <w:rFonts w:hint="eastAsia" w:ascii="宋体" w:hAnsi="宋体"/>
          <w:b/>
          <w:bCs/>
          <w:highlight w:val="none"/>
        </w:rPr>
        <w:t>在合同履约过程中，本合同税率必须遵照国家现行税法执行。本合同最终税金在结算阶</w:t>
      </w:r>
    </w:p>
    <w:p>
      <w:pPr>
        <w:spacing w:line="240" w:lineRule="auto"/>
        <w:rPr>
          <w:highlight w:val="none"/>
        </w:rPr>
      </w:pPr>
      <w:r>
        <w:rPr>
          <w:rFonts w:hint="eastAsia" w:ascii="宋体" w:hAnsi="宋体"/>
          <w:b/>
          <w:bCs/>
          <w:highlight w:val="none"/>
        </w:rPr>
        <w:t>段，按实际产生的税金进行核算。但合同不含增值税价格不因国家税率调整而调整。</w:t>
      </w:r>
    </w:p>
    <w:p>
      <w:pPr>
        <w:widowControl w:val="0"/>
        <w:spacing w:before="0" w:after="0" w:afterAutospacing="0" w:line="440" w:lineRule="exact"/>
        <w:ind w:left="0" w:right="0" w:firstLine="420" w:firstLineChars="200"/>
        <w:rPr>
          <w:rFonts w:ascii="宋体" w:hAnsi="宋体"/>
          <w:highlight w:val="none"/>
        </w:rPr>
      </w:pPr>
      <w:r>
        <w:rPr>
          <w:rFonts w:hint="eastAsia" w:ascii="宋体" w:hAnsi="宋体"/>
          <w:highlight w:val="none"/>
        </w:rPr>
        <w:t>2.</w:t>
      </w:r>
      <w:r>
        <w:rPr>
          <w:rFonts w:hint="eastAsia"/>
          <w:highlight w:val="none"/>
        </w:rPr>
        <w:t>合同价格形式：本项目采用固定</w:t>
      </w:r>
      <w:r>
        <w:rPr>
          <w:highlight w:val="none"/>
        </w:rPr>
        <w:t>综合单价</w:t>
      </w:r>
      <w:r>
        <w:rPr>
          <w:rFonts w:hint="eastAsia"/>
          <w:highlight w:val="none"/>
        </w:rPr>
        <w:t>，包含但不限于培训、场地、教材费、题库费、人工成本、管理费、利润、保险等全过程产生除增值税外的一切费用</w:t>
      </w:r>
      <w:r>
        <w:rPr>
          <w:rFonts w:hint="eastAsia"/>
          <w:b/>
          <w:bCs/>
          <w:color w:val="FF0000"/>
          <w:highlight w:val="none"/>
        </w:rPr>
        <w:t>（不含考试费）</w:t>
      </w:r>
      <w:r>
        <w:rPr>
          <w:rFonts w:hint="eastAsia"/>
          <w:highlight w:val="none"/>
        </w:rPr>
        <w:t>。服务费用以实际发生的服务项目及数量进行计价，服务项目的综合单价以</w:t>
      </w:r>
      <w:r>
        <w:rPr>
          <w:rFonts w:hint="eastAsia"/>
          <w:highlight w:val="none"/>
          <w:lang w:val="en-US" w:eastAsia="zh-CN"/>
        </w:rPr>
        <w:t>分项</w:t>
      </w:r>
      <w:r>
        <w:rPr>
          <w:rFonts w:hint="eastAsia"/>
          <w:highlight w:val="none"/>
        </w:rPr>
        <w:t>报价表的价格为准。</w:t>
      </w:r>
    </w:p>
    <w:p>
      <w:pPr>
        <w:widowControl w:val="0"/>
        <w:spacing w:before="0" w:after="0" w:afterAutospacing="0" w:line="440" w:lineRule="exact"/>
        <w:ind w:left="0" w:right="0" w:firstLine="420" w:firstLineChars="200"/>
        <w:rPr>
          <w:rFonts w:ascii="Calibri" w:hAnsi="Calibri"/>
          <w:color w:val="000000"/>
          <w:kern w:val="2"/>
          <w:highlight w:val="none"/>
        </w:rPr>
      </w:pPr>
      <w:r>
        <w:rPr>
          <w:rFonts w:hint="eastAsia" w:ascii="宋体" w:hAnsi="宋体"/>
          <w:highlight w:val="none"/>
        </w:rPr>
        <w:t>3.培训的人员数量为预计数量，最终培训人数以甲方安排人数为准，最终计价按通过考试取得特种作业证书数量为准。</w:t>
      </w:r>
    </w:p>
    <w:p>
      <w:pPr>
        <w:widowControl w:val="0"/>
        <w:ind w:left="0" w:right="0" w:firstLine="420" w:firstLineChars="200"/>
        <w:rPr>
          <w:rFonts w:ascii="宋体" w:hAnsi="宋体"/>
          <w:highlight w:val="none"/>
        </w:rPr>
      </w:pPr>
      <w:r>
        <w:rPr>
          <w:rFonts w:hint="eastAsia" w:ascii="宋体" w:hAnsi="宋体"/>
          <w:highlight w:val="none"/>
        </w:rPr>
        <w:t>五、组成合同的文件</w:t>
      </w:r>
      <w:bookmarkEnd w:id="45"/>
    </w:p>
    <w:p>
      <w:pPr>
        <w:pStyle w:val="53"/>
        <w:spacing w:line="360" w:lineRule="auto"/>
        <w:ind w:left="0" w:firstLine="420" w:firstLineChars="200"/>
        <w:rPr>
          <w:rFonts w:ascii="宋体" w:hAnsi="宋体"/>
          <w:sz w:val="21"/>
          <w:szCs w:val="21"/>
          <w:highlight w:val="none"/>
        </w:rPr>
      </w:pPr>
      <w:r>
        <w:rPr>
          <w:rFonts w:hint="eastAsia" w:ascii="宋体" w:hAnsi="宋体"/>
          <w:sz w:val="21"/>
          <w:szCs w:val="21"/>
          <w:highlight w:val="none"/>
        </w:rPr>
        <w:t>（1）合同协议书；</w:t>
      </w:r>
    </w:p>
    <w:p>
      <w:pPr>
        <w:pStyle w:val="53"/>
        <w:widowControl/>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（2）中</w:t>
      </w:r>
      <w:r>
        <w:rPr>
          <w:rFonts w:hint="eastAsia" w:ascii="宋体" w:hAnsi="宋体"/>
          <w:sz w:val="21"/>
          <w:szCs w:val="21"/>
          <w:highlight w:val="none"/>
          <w:lang w:val="en-US" w:eastAsia="zh-CN"/>
        </w:rPr>
        <w:t>选</w:t>
      </w:r>
      <w:r>
        <w:rPr>
          <w:rFonts w:hint="eastAsia" w:ascii="宋体" w:hAnsi="宋体"/>
          <w:sz w:val="21"/>
          <w:szCs w:val="21"/>
          <w:highlight w:val="none"/>
        </w:rPr>
        <w:t>通知书；</w:t>
      </w:r>
    </w:p>
    <w:p>
      <w:pPr>
        <w:pStyle w:val="53"/>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（3）价格组成文件；</w:t>
      </w:r>
    </w:p>
    <w:p>
      <w:pPr>
        <w:pStyle w:val="53"/>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（4）合同条款；</w:t>
      </w:r>
    </w:p>
    <w:p>
      <w:pPr>
        <w:pStyle w:val="53"/>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（5）技术规格书；</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pStyle w:val="53"/>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（7）</w:t>
      </w:r>
      <w:r>
        <w:rPr>
          <w:rFonts w:hint="eastAsia" w:ascii="宋体" w:hAnsi="宋体"/>
          <w:sz w:val="21"/>
          <w:szCs w:val="21"/>
          <w:highlight w:val="none"/>
          <w:lang w:val="en-US" w:eastAsia="zh-CN"/>
        </w:rPr>
        <w:t>询比价</w:t>
      </w:r>
      <w:r>
        <w:rPr>
          <w:rFonts w:hint="eastAsia" w:ascii="宋体" w:hAnsi="宋体" w:cs="宋体"/>
          <w:sz w:val="21"/>
          <w:szCs w:val="21"/>
          <w:highlight w:val="none"/>
        </w:rPr>
        <w:t>文件（含</w:t>
      </w:r>
      <w:r>
        <w:rPr>
          <w:rFonts w:hint="eastAsia" w:ascii="宋体" w:hAnsi="宋体"/>
          <w:sz w:val="21"/>
          <w:szCs w:val="21"/>
          <w:highlight w:val="none"/>
          <w:lang w:val="en-US" w:eastAsia="zh-CN"/>
        </w:rPr>
        <w:t>询比价</w:t>
      </w:r>
      <w:r>
        <w:rPr>
          <w:rFonts w:hint="eastAsia" w:ascii="宋体" w:hAnsi="宋体" w:cs="宋体"/>
          <w:sz w:val="21"/>
          <w:szCs w:val="21"/>
          <w:highlight w:val="none"/>
        </w:rPr>
        <w:t>文件补充文件）（另册）；</w:t>
      </w:r>
    </w:p>
    <w:p>
      <w:pPr>
        <w:pStyle w:val="53"/>
        <w:snapToGrid w:val="0"/>
        <w:spacing w:line="360" w:lineRule="auto"/>
        <w:ind w:left="0" w:right="720" w:firstLine="420" w:firstLineChars="200"/>
        <w:rPr>
          <w:rFonts w:ascii="宋体" w:hAnsi="宋体"/>
          <w:sz w:val="21"/>
          <w:szCs w:val="21"/>
          <w:highlight w:val="none"/>
        </w:rPr>
      </w:pPr>
      <w:r>
        <w:rPr>
          <w:rFonts w:hint="eastAsia" w:ascii="宋体" w:hAnsi="宋体"/>
          <w:sz w:val="21"/>
          <w:szCs w:val="21"/>
          <w:highlight w:val="none"/>
        </w:rPr>
        <w:t>（8）</w:t>
      </w:r>
      <w:r>
        <w:rPr>
          <w:rFonts w:hint="eastAsia" w:ascii="宋体" w:hAnsi="宋体"/>
          <w:sz w:val="21"/>
          <w:szCs w:val="21"/>
          <w:highlight w:val="none"/>
          <w:lang w:val="en-US" w:eastAsia="zh-CN"/>
        </w:rPr>
        <w:t>询比价申请</w:t>
      </w:r>
      <w:r>
        <w:rPr>
          <w:rFonts w:hint="eastAsia" w:ascii="宋体" w:hAnsi="宋体" w:cs="宋体"/>
          <w:sz w:val="21"/>
          <w:szCs w:val="21"/>
          <w:highlight w:val="none"/>
        </w:rPr>
        <w:t>文件（含</w:t>
      </w:r>
      <w:r>
        <w:rPr>
          <w:rFonts w:hint="eastAsia" w:ascii="宋体" w:hAnsi="宋体"/>
          <w:sz w:val="21"/>
          <w:szCs w:val="21"/>
          <w:highlight w:val="none"/>
          <w:lang w:val="en-US" w:eastAsia="zh-CN"/>
        </w:rPr>
        <w:t>询比价申请</w:t>
      </w:r>
      <w:r>
        <w:rPr>
          <w:rFonts w:hint="eastAsia" w:ascii="宋体" w:hAnsi="宋体" w:cs="宋体"/>
          <w:sz w:val="21"/>
          <w:szCs w:val="21"/>
          <w:highlight w:val="none"/>
        </w:rPr>
        <w:t>补充文件）（另册）。</w:t>
      </w:r>
    </w:p>
    <w:p>
      <w:pPr>
        <w:widowControl w:val="0"/>
        <w:ind w:left="0" w:right="0" w:firstLine="420" w:firstLineChars="200"/>
        <w:rPr>
          <w:rFonts w:ascii="宋体" w:hAnsi="宋体"/>
          <w:highlight w:val="none"/>
        </w:rPr>
      </w:pPr>
      <w:r>
        <w:rPr>
          <w:rFonts w:hint="eastAsia" w:ascii="宋体" w:hAnsi="宋体"/>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val="0"/>
        <w:ind w:left="0" w:right="0" w:firstLine="420" w:firstLineChars="200"/>
        <w:rPr>
          <w:rFonts w:ascii="宋体" w:hAnsi="宋体"/>
          <w:highlight w:val="none"/>
        </w:rPr>
      </w:pPr>
      <w:r>
        <w:rPr>
          <w:rFonts w:hint="eastAsia" w:ascii="宋体" w:hAnsi="宋体"/>
          <w:highlight w:val="none"/>
        </w:rPr>
        <w:t>六、甲乙双方依据本次</w:t>
      </w:r>
      <w:r>
        <w:rPr>
          <w:rFonts w:hint="eastAsia" w:ascii="宋体" w:hAnsi="宋体"/>
          <w:highlight w:val="none"/>
          <w:lang w:val="en-US" w:eastAsia="zh-CN"/>
        </w:rPr>
        <w:t>询比价</w:t>
      </w:r>
      <w:r>
        <w:rPr>
          <w:rFonts w:hint="eastAsia" w:ascii="宋体" w:hAnsi="宋体"/>
          <w:highlight w:val="none"/>
        </w:rPr>
        <w:t>文件中的用户需求书、乙方投标文件（如技术响应表、技术文件等），按照二者较优值形成技术规格书。并经双方确认后构成本合同的有效组成部分。在本合同执行中的技术指标以技术规格书为准。</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七、买卖双方承诺，遵守合同条款关于合同标的、服务质量、合同价格、进度计划等双方各自义务及关于违约责任与索赔、解决争议方式等各项约定。</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八、本合同用中文书写，正本2份，甲乙方各1份；副本8份，甲方持6份，乙方持2份。</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九、本合同经双方法定代表人或其委托代理人签字、加盖单位公章或合同专用章后生效。</w:t>
      </w:r>
    </w:p>
    <w:p>
      <w:pPr>
        <w:ind w:left="0" w:firstLine="0"/>
        <w:rPr>
          <w:highlight w:val="none"/>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tcPr>
          <w:p>
            <w:pPr>
              <w:pStyle w:val="2"/>
              <w:spacing w:before="0" w:after="0" w:line="276" w:lineRule="auto"/>
              <w:ind w:right="0"/>
              <w:rPr>
                <w:rFonts w:hAnsi="宋体" w:cs="Courier New"/>
                <w:sz w:val="21"/>
                <w:szCs w:val="21"/>
                <w:highlight w:val="none"/>
              </w:rPr>
            </w:pPr>
            <w:r>
              <w:rPr>
                <w:rFonts w:hint="eastAsia" w:hAnsi="宋体" w:cs="Courier New"/>
                <w:sz w:val="21"/>
                <w:szCs w:val="21"/>
                <w:highlight w:val="none"/>
              </w:rPr>
              <w:t>甲方：</w:t>
            </w:r>
          </w:p>
          <w:p>
            <w:pPr>
              <w:pStyle w:val="2"/>
              <w:spacing w:before="0" w:after="0" w:line="276" w:lineRule="auto"/>
              <w:ind w:right="0"/>
              <w:rPr>
                <w:rFonts w:hAnsi="宋体" w:cs="Courier New"/>
                <w:sz w:val="21"/>
                <w:szCs w:val="21"/>
                <w:highlight w:val="none"/>
                <w:u w:val="single"/>
              </w:rPr>
            </w:pPr>
            <w:r>
              <w:rPr>
                <w:rFonts w:hint="eastAsia" w:hAnsi="宋体" w:cs="Courier New"/>
                <w:sz w:val="21"/>
                <w:szCs w:val="21"/>
                <w:highlight w:val="none"/>
              </w:rPr>
              <w:t>法定代表人或其委托代理人：</w:t>
            </w:r>
          </w:p>
          <w:p>
            <w:pPr>
              <w:pStyle w:val="2"/>
              <w:spacing w:before="0" w:after="0" w:line="276" w:lineRule="auto"/>
              <w:ind w:right="0"/>
              <w:rPr>
                <w:rFonts w:hAnsi="宋体" w:cs="Courier New"/>
                <w:sz w:val="21"/>
                <w:szCs w:val="21"/>
                <w:highlight w:val="none"/>
                <w:u w:val="single"/>
              </w:rPr>
            </w:pPr>
            <w:r>
              <w:rPr>
                <w:rFonts w:hint="eastAsia" w:hAnsi="宋体" w:cs="Courier New"/>
                <w:sz w:val="21"/>
                <w:szCs w:val="21"/>
                <w:highlight w:val="none"/>
              </w:rPr>
              <w:t>地址：</w:t>
            </w:r>
          </w:p>
          <w:p>
            <w:pPr>
              <w:pStyle w:val="2"/>
              <w:spacing w:before="0" w:after="0" w:line="276" w:lineRule="auto"/>
              <w:ind w:right="0"/>
              <w:rPr>
                <w:rFonts w:hAnsi="宋体" w:cs="Courier New"/>
                <w:sz w:val="21"/>
                <w:szCs w:val="21"/>
                <w:highlight w:val="none"/>
              </w:rPr>
            </w:pPr>
            <w:r>
              <w:rPr>
                <w:rFonts w:hint="eastAsia" w:hAnsi="宋体" w:cs="Courier New"/>
                <w:sz w:val="21"/>
                <w:szCs w:val="21"/>
                <w:highlight w:val="none"/>
              </w:rPr>
              <w:t>邮政编码：</w:t>
            </w:r>
          </w:p>
          <w:p>
            <w:pPr>
              <w:pStyle w:val="2"/>
              <w:spacing w:before="0" w:after="0" w:line="276" w:lineRule="auto"/>
              <w:ind w:right="0"/>
              <w:rPr>
                <w:rFonts w:hAnsi="宋体" w:cs="Courier New"/>
                <w:sz w:val="21"/>
                <w:szCs w:val="21"/>
                <w:highlight w:val="none"/>
              </w:rPr>
            </w:pPr>
            <w:r>
              <w:rPr>
                <w:rFonts w:hint="eastAsia" w:hAnsi="宋体" w:cs="Courier New"/>
                <w:sz w:val="21"/>
                <w:szCs w:val="21"/>
                <w:highlight w:val="none"/>
              </w:rPr>
              <w:t>联系人：</w:t>
            </w:r>
          </w:p>
          <w:p>
            <w:pPr>
              <w:pStyle w:val="2"/>
              <w:spacing w:before="0" w:after="0" w:line="276" w:lineRule="auto"/>
              <w:ind w:right="0"/>
              <w:rPr>
                <w:rFonts w:hAnsi="宋体" w:cs="Courier New"/>
                <w:sz w:val="21"/>
                <w:szCs w:val="21"/>
                <w:highlight w:val="none"/>
                <w:u w:val="single"/>
              </w:rPr>
            </w:pPr>
            <w:r>
              <w:rPr>
                <w:rFonts w:hint="eastAsia" w:hAnsi="宋体" w:cs="Courier New"/>
                <w:sz w:val="21"/>
                <w:szCs w:val="21"/>
                <w:highlight w:val="none"/>
              </w:rPr>
              <w:t>联系电话：</w:t>
            </w:r>
          </w:p>
          <w:p>
            <w:pPr>
              <w:pStyle w:val="2"/>
              <w:spacing w:before="0" w:after="0" w:line="276" w:lineRule="auto"/>
              <w:ind w:right="0"/>
              <w:rPr>
                <w:rFonts w:hAnsi="宋体" w:cs="Courier New"/>
                <w:sz w:val="21"/>
                <w:szCs w:val="21"/>
                <w:highlight w:val="none"/>
                <w:u w:val="single"/>
              </w:rPr>
            </w:pPr>
            <w:r>
              <w:rPr>
                <w:rFonts w:hint="eastAsia" w:hAnsi="宋体" w:cs="Courier New"/>
                <w:sz w:val="21"/>
                <w:szCs w:val="21"/>
                <w:highlight w:val="none"/>
              </w:rPr>
              <w:t>传真：</w:t>
            </w:r>
          </w:p>
          <w:p>
            <w:pPr>
              <w:pStyle w:val="2"/>
              <w:spacing w:before="0" w:after="0" w:line="276" w:lineRule="auto"/>
              <w:ind w:right="0"/>
              <w:rPr>
                <w:rFonts w:hAnsi="宋体" w:cs="Courier New"/>
                <w:sz w:val="21"/>
                <w:szCs w:val="21"/>
                <w:highlight w:val="none"/>
              </w:rPr>
            </w:pPr>
            <w:r>
              <w:rPr>
                <w:rFonts w:hint="eastAsia" w:hAnsi="宋体" w:cs="Courier New"/>
                <w:sz w:val="21"/>
                <w:szCs w:val="21"/>
                <w:highlight w:val="none"/>
              </w:rPr>
              <w:t>开户银行：</w:t>
            </w:r>
          </w:p>
          <w:p>
            <w:pPr>
              <w:pStyle w:val="2"/>
              <w:spacing w:before="0" w:after="0" w:line="276" w:lineRule="auto"/>
              <w:ind w:right="0"/>
              <w:rPr>
                <w:rFonts w:hAnsi="宋体" w:cs="Courier New"/>
                <w:sz w:val="21"/>
                <w:szCs w:val="21"/>
                <w:highlight w:val="none"/>
              </w:rPr>
            </w:pPr>
            <w:r>
              <w:rPr>
                <w:rFonts w:hint="eastAsia" w:hAnsi="宋体" w:cs="Courier New"/>
                <w:sz w:val="21"/>
                <w:szCs w:val="21"/>
                <w:highlight w:val="none"/>
              </w:rPr>
              <w:t>纳税人识别号：</w:t>
            </w:r>
          </w:p>
        </w:tc>
        <w:tc>
          <w:tcPr>
            <w:tcW w:w="4261" w:type="dxa"/>
          </w:tcPr>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乙方：</w:t>
            </w:r>
          </w:p>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法定代表人或其委托代理人：</w:t>
            </w:r>
          </w:p>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地址：</w:t>
            </w:r>
          </w:p>
          <w:p>
            <w:pPr>
              <w:pStyle w:val="2"/>
              <w:spacing w:before="0" w:after="0" w:line="276" w:lineRule="auto"/>
              <w:ind w:left="0" w:right="0" w:firstLine="0"/>
              <w:rPr>
                <w:rFonts w:hAnsi="宋体" w:cs="Courier New"/>
                <w:sz w:val="21"/>
                <w:szCs w:val="21"/>
                <w:highlight w:val="none"/>
              </w:rPr>
            </w:pPr>
            <w:r>
              <w:rPr>
                <w:rFonts w:hint="eastAsia" w:hAnsi="宋体" w:cs="Courier New"/>
                <w:sz w:val="21"/>
                <w:szCs w:val="21"/>
                <w:highlight w:val="none"/>
              </w:rPr>
              <w:t>邮政编码：</w:t>
            </w:r>
          </w:p>
          <w:p>
            <w:pPr>
              <w:pStyle w:val="2"/>
              <w:spacing w:before="0" w:after="0" w:line="276" w:lineRule="auto"/>
              <w:ind w:left="0" w:right="0" w:firstLine="0"/>
              <w:rPr>
                <w:rFonts w:hAnsi="宋体" w:cs="Courier New"/>
                <w:sz w:val="21"/>
                <w:szCs w:val="21"/>
                <w:highlight w:val="none"/>
              </w:rPr>
            </w:pPr>
            <w:r>
              <w:rPr>
                <w:rFonts w:hint="eastAsia" w:hAnsi="宋体" w:cs="Courier New"/>
                <w:sz w:val="21"/>
                <w:szCs w:val="21"/>
                <w:highlight w:val="none"/>
              </w:rPr>
              <w:t>联系人：</w:t>
            </w:r>
          </w:p>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联系电话：</w:t>
            </w:r>
          </w:p>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传真：</w:t>
            </w:r>
          </w:p>
          <w:p>
            <w:pPr>
              <w:pStyle w:val="2"/>
              <w:spacing w:before="0" w:after="0" w:line="276" w:lineRule="auto"/>
              <w:ind w:left="0" w:right="0" w:firstLine="0"/>
              <w:rPr>
                <w:rFonts w:hAnsi="宋体" w:cs="Courier New"/>
                <w:sz w:val="21"/>
                <w:szCs w:val="21"/>
                <w:highlight w:val="none"/>
                <w:u w:val="single"/>
              </w:rPr>
            </w:pPr>
            <w:r>
              <w:rPr>
                <w:rFonts w:hint="eastAsia" w:hAnsi="宋体" w:cs="Courier New"/>
                <w:sz w:val="21"/>
                <w:szCs w:val="21"/>
                <w:highlight w:val="none"/>
              </w:rPr>
              <w:t>开户银行：</w:t>
            </w:r>
          </w:p>
          <w:p>
            <w:pPr>
              <w:pStyle w:val="2"/>
              <w:spacing w:before="0" w:after="0" w:line="276" w:lineRule="auto"/>
              <w:ind w:left="0" w:right="0" w:firstLine="0"/>
              <w:rPr>
                <w:rFonts w:hAnsi="宋体" w:cs="Courier New"/>
                <w:sz w:val="21"/>
                <w:szCs w:val="21"/>
                <w:highlight w:val="none"/>
              </w:rPr>
            </w:pPr>
            <w:r>
              <w:rPr>
                <w:rFonts w:hint="eastAsia" w:hAnsi="宋体" w:cs="Courier New"/>
                <w:sz w:val="21"/>
                <w:szCs w:val="21"/>
                <w:highlight w:val="none"/>
              </w:rPr>
              <w:t>纳税人识别号：</w:t>
            </w:r>
          </w:p>
        </w:tc>
      </w:tr>
    </w:tbl>
    <w:p>
      <w:pPr>
        <w:spacing w:before="0" w:after="0"/>
        <w:ind w:left="0" w:right="0" w:firstLine="0"/>
        <w:rPr>
          <w:rFonts w:ascii="宋体" w:hAnsi="宋体"/>
          <w:highlight w:val="none"/>
        </w:rPr>
      </w:pPr>
      <w:r>
        <w:rPr>
          <w:rFonts w:hint="eastAsia" w:ascii="宋体" w:hAnsi="宋体"/>
          <w:b/>
          <w:highlight w:val="none"/>
        </w:rPr>
        <w:t>签订时间：</w:t>
      </w:r>
    </w:p>
    <w:p>
      <w:pPr>
        <w:pStyle w:val="5"/>
        <w:spacing w:before="40" w:after="40" w:line="240" w:lineRule="auto"/>
        <w:ind w:left="0" w:firstLine="0"/>
        <w:jc w:val="center"/>
        <w:rPr>
          <w:rFonts w:ascii="Times New Roman" w:hAnsi="Times New Roman" w:eastAsia="宋体"/>
          <w:highlight w:val="none"/>
        </w:rPr>
      </w:pPr>
      <w:bookmarkStart w:id="46" w:name="_Toc11789"/>
      <w:bookmarkStart w:id="47" w:name="_Toc5130"/>
    </w:p>
    <w:p>
      <w:pPr>
        <w:pStyle w:val="5"/>
        <w:spacing w:before="40" w:after="40" w:line="240" w:lineRule="auto"/>
        <w:ind w:left="0" w:firstLine="0"/>
        <w:jc w:val="center"/>
        <w:rPr>
          <w:rFonts w:ascii="Times New Roman" w:hAnsi="Times New Roman" w:eastAsia="宋体"/>
          <w:highlight w:val="none"/>
        </w:rPr>
      </w:pPr>
    </w:p>
    <w:p>
      <w:pPr>
        <w:rPr>
          <w:highlight w:val="none"/>
        </w:rPr>
      </w:pPr>
    </w:p>
    <w:p>
      <w:pPr>
        <w:rPr>
          <w:rFonts w:ascii="Times New Roman" w:hAnsi="Times New Roman"/>
          <w:highlight w:val="none"/>
        </w:rPr>
      </w:pPr>
      <w:r>
        <w:rPr>
          <w:rFonts w:ascii="Times New Roman" w:hAnsi="Times New Roman"/>
          <w:highlight w:val="none"/>
        </w:rPr>
        <w:br w:type="page"/>
      </w:r>
    </w:p>
    <w:p>
      <w:pPr>
        <w:pStyle w:val="3"/>
      </w:pPr>
    </w:p>
    <w:p>
      <w:pPr>
        <w:rPr>
          <w:highlight w:val="none"/>
        </w:rPr>
      </w:pPr>
    </w:p>
    <w:p>
      <w:pPr>
        <w:pStyle w:val="5"/>
        <w:spacing w:before="40" w:after="40" w:line="240" w:lineRule="auto"/>
        <w:ind w:left="0" w:firstLine="0"/>
        <w:jc w:val="center"/>
        <w:rPr>
          <w:rFonts w:ascii="Times New Roman" w:hAnsi="Times New Roman" w:eastAsia="宋体"/>
          <w:highlight w:val="none"/>
        </w:rPr>
      </w:pPr>
      <w:r>
        <w:rPr>
          <w:rFonts w:ascii="Times New Roman" w:hAnsi="Times New Roman" w:eastAsia="宋体"/>
          <w:highlight w:val="none"/>
        </w:rPr>
        <w:t>第二部分</w:t>
      </w:r>
      <w:r>
        <w:rPr>
          <w:rFonts w:hint="eastAsia" w:ascii="Times New Roman" w:hAnsi="Times New Roman" w:eastAsia="宋体"/>
          <w:highlight w:val="none"/>
        </w:rPr>
        <w:t xml:space="preserve"> 中</w:t>
      </w:r>
      <w:r>
        <w:rPr>
          <w:rFonts w:hint="eastAsia" w:ascii="Times New Roman" w:hAnsi="Times New Roman" w:eastAsia="宋体"/>
          <w:highlight w:val="none"/>
          <w:lang w:val="en-US" w:eastAsia="zh-CN"/>
        </w:rPr>
        <w:t>选</w:t>
      </w:r>
      <w:r>
        <w:rPr>
          <w:rFonts w:hint="eastAsia" w:ascii="Times New Roman" w:hAnsi="Times New Roman" w:eastAsia="宋体"/>
          <w:highlight w:val="none"/>
        </w:rPr>
        <w:t>通知书</w:t>
      </w:r>
      <w:bookmarkEnd w:id="46"/>
      <w:bookmarkEnd w:id="47"/>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48" w:name="_Toc3269"/>
      <w:bookmarkStart w:id="49" w:name="_Toc16963"/>
    </w:p>
    <w:p>
      <w:pPr>
        <w:pStyle w:val="5"/>
        <w:spacing w:before="40" w:after="40" w:line="240" w:lineRule="auto"/>
        <w:jc w:val="center"/>
        <w:rPr>
          <w:rFonts w:ascii="Times New Roman" w:hAnsi="Times New Roman" w:eastAsia="宋体"/>
          <w:highlight w:val="none"/>
        </w:rPr>
      </w:pPr>
    </w:p>
    <w:p>
      <w:pPr>
        <w:pStyle w:val="5"/>
        <w:spacing w:before="40" w:after="40" w:line="240" w:lineRule="auto"/>
        <w:jc w:val="center"/>
        <w:rPr>
          <w:rFonts w:ascii="Times New Roman" w:hAnsi="Times New Roman" w:eastAsia="宋体"/>
          <w:highlight w:val="none"/>
        </w:rPr>
      </w:pPr>
    </w:p>
    <w:p>
      <w:pPr>
        <w:pStyle w:val="5"/>
        <w:spacing w:before="40" w:after="40" w:line="240" w:lineRule="auto"/>
        <w:jc w:val="center"/>
        <w:rPr>
          <w:rFonts w:ascii="Times New Roman" w:hAnsi="Times New Roman" w:eastAsia="宋体"/>
          <w:highlight w:val="none"/>
        </w:rPr>
      </w:pPr>
      <w:r>
        <w:rPr>
          <w:rFonts w:ascii="Times New Roman" w:hAnsi="Times New Roman" w:eastAsia="宋体"/>
          <w:highlight w:val="none"/>
        </w:rPr>
        <w:t>第</w:t>
      </w:r>
      <w:r>
        <w:rPr>
          <w:rFonts w:hint="eastAsia" w:ascii="Times New Roman" w:hAnsi="Times New Roman" w:eastAsia="宋体"/>
          <w:highlight w:val="none"/>
        </w:rPr>
        <w:t>三</w:t>
      </w:r>
      <w:r>
        <w:rPr>
          <w:rFonts w:ascii="Times New Roman" w:hAnsi="Times New Roman" w:eastAsia="宋体"/>
          <w:highlight w:val="none"/>
        </w:rPr>
        <w:t>部分</w:t>
      </w:r>
      <w:r>
        <w:rPr>
          <w:rFonts w:hint="eastAsia" w:ascii="Times New Roman" w:hAnsi="Times New Roman" w:eastAsia="宋体"/>
          <w:highlight w:val="none"/>
        </w:rPr>
        <w:t xml:space="preserve"> 价格组成文件</w:t>
      </w:r>
      <w:bookmarkEnd w:id="48"/>
      <w:bookmarkEnd w:id="49"/>
    </w:p>
    <w:p>
      <w:pPr>
        <w:pStyle w:val="53"/>
        <w:adjustRightInd/>
        <w:spacing w:before="0" w:after="0" w:line="360" w:lineRule="auto"/>
        <w:ind w:left="0" w:right="0"/>
        <w:rPr>
          <w:rFonts w:ascii="宋体" w:hAnsi="宋体"/>
          <w:sz w:val="21"/>
          <w:szCs w:val="21"/>
          <w:highlight w:val="none"/>
        </w:rPr>
      </w:pPr>
    </w:p>
    <w:p>
      <w:pPr>
        <w:pStyle w:val="6"/>
        <w:rPr>
          <w:rFonts w:ascii="宋体" w:hAnsi="宋体"/>
          <w:b w:val="0"/>
          <w:sz w:val="21"/>
          <w:szCs w:val="21"/>
          <w:highlight w:val="none"/>
        </w:rPr>
      </w:pPr>
      <w:r>
        <w:rPr>
          <w:rFonts w:ascii="宋体" w:hAnsi="宋体"/>
          <w:b w:val="0"/>
          <w:highlight w:val="none"/>
        </w:rPr>
        <w:t>1</w:t>
      </w:r>
      <w:r>
        <w:rPr>
          <w:rFonts w:hint="eastAsia" w:ascii="宋体" w:hAnsi="宋体"/>
          <w:b w:val="0"/>
          <w:highlight w:val="none"/>
        </w:rPr>
        <w:t>.增值税税率确认函</w:t>
      </w:r>
    </w:p>
    <w:p>
      <w:pPr>
        <w:pStyle w:val="6"/>
        <w:rPr>
          <w:rFonts w:ascii="宋体" w:hAnsi="宋体"/>
          <w:b w:val="0"/>
          <w:highlight w:val="none"/>
        </w:rPr>
      </w:pPr>
      <w:r>
        <w:rPr>
          <w:rFonts w:hint="eastAsia" w:ascii="宋体" w:hAnsi="宋体"/>
          <w:b w:val="0"/>
          <w:highlight w:val="none"/>
        </w:rPr>
        <w:t>2.中</w:t>
      </w:r>
      <w:r>
        <w:rPr>
          <w:rFonts w:hint="eastAsia" w:ascii="宋体" w:hAnsi="宋体"/>
          <w:b w:val="0"/>
          <w:highlight w:val="none"/>
          <w:lang w:val="en-US" w:eastAsia="zh-CN"/>
        </w:rPr>
        <w:t>选</w:t>
      </w:r>
      <w:r>
        <w:rPr>
          <w:rFonts w:hint="eastAsia" w:ascii="宋体" w:hAnsi="宋体"/>
          <w:b w:val="0"/>
          <w:highlight w:val="none"/>
        </w:rPr>
        <w:t>文件报价表</w:t>
      </w:r>
    </w:p>
    <w:p>
      <w:pPr>
        <w:pStyle w:val="6"/>
        <w:rPr>
          <w:rFonts w:ascii="宋体" w:hAnsi="宋体"/>
          <w:b w:val="0"/>
          <w:highlight w:val="none"/>
        </w:rPr>
      </w:pPr>
      <w:r>
        <w:rPr>
          <w:rFonts w:hint="eastAsia" w:ascii="宋体" w:hAnsi="宋体"/>
          <w:b w:val="0"/>
          <w:highlight w:val="none"/>
        </w:rPr>
        <w:t>3.不含税报价表</w:t>
      </w: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snapToGrid w:val="0"/>
        <w:spacing w:line="360" w:lineRule="exact"/>
        <w:ind w:firstLine="420" w:firstLineChars="200"/>
        <w:rPr>
          <w:rFonts w:ascii="宋体" w:hAnsi="宋体"/>
          <w:snapToGrid w:val="0"/>
          <w:highlight w:val="none"/>
        </w:rPr>
      </w:pPr>
    </w:p>
    <w:p>
      <w:pPr>
        <w:spacing w:line="340" w:lineRule="exact"/>
        <w:rPr>
          <w:rFonts w:ascii="宋体" w:hAnsi="宋体"/>
          <w:b/>
          <w:highlight w:val="none"/>
        </w:rPr>
        <w:sectPr>
          <w:pgSz w:w="11906" w:h="16838"/>
          <w:pgMar w:top="1440" w:right="1701" w:bottom="1440" w:left="1701" w:header="851" w:footer="851" w:gutter="0"/>
          <w:cols w:space="720" w:num="1"/>
          <w:titlePg/>
          <w:docGrid w:linePitch="312" w:charSpace="0"/>
        </w:sectPr>
      </w:pPr>
    </w:p>
    <w:p>
      <w:pPr>
        <w:pStyle w:val="5"/>
        <w:numPr>
          <w:ilvl w:val="0"/>
          <w:numId w:val="1"/>
        </w:numPr>
        <w:spacing w:before="40" w:after="40" w:line="240" w:lineRule="auto"/>
        <w:jc w:val="center"/>
        <w:rPr>
          <w:rFonts w:ascii="宋体" w:hAnsi="宋体" w:eastAsia="宋体"/>
          <w:iCs/>
          <w:highlight w:val="none"/>
        </w:rPr>
      </w:pPr>
      <w:bookmarkStart w:id="50" w:name="_Toc17251"/>
      <w:bookmarkStart w:id="51" w:name="_Toc12996"/>
      <w:r>
        <w:rPr>
          <w:rFonts w:hint="eastAsia" w:ascii="宋体" w:hAnsi="宋体" w:eastAsia="宋体"/>
          <w:iCs/>
          <w:highlight w:val="none"/>
        </w:rPr>
        <w:t xml:space="preserve"> </w:t>
      </w:r>
      <w:r>
        <w:rPr>
          <w:rFonts w:ascii="宋体" w:hAnsi="宋体" w:eastAsia="宋体"/>
          <w:iCs/>
          <w:highlight w:val="none"/>
        </w:rPr>
        <w:t>合同</w:t>
      </w:r>
      <w:bookmarkEnd w:id="50"/>
      <w:r>
        <w:rPr>
          <w:rFonts w:hint="eastAsia" w:ascii="宋体" w:hAnsi="宋体" w:eastAsia="宋体"/>
          <w:iCs/>
          <w:highlight w:val="none"/>
        </w:rPr>
        <w:t>条款</w:t>
      </w:r>
      <w:bookmarkEnd w:id="51"/>
    </w:p>
    <w:p>
      <w:pPr>
        <w:widowControl w:val="0"/>
        <w:spacing w:after="120"/>
        <w:outlineLvl w:val="2"/>
        <w:rPr>
          <w:rFonts w:ascii="Calibri" w:hAnsi="Calibri"/>
          <w:b/>
          <w:bCs/>
          <w:sz w:val="24"/>
          <w:szCs w:val="24"/>
          <w:highlight w:val="none"/>
        </w:rPr>
      </w:pPr>
      <w:bookmarkStart w:id="52" w:name="_Toc21421"/>
      <w:bookmarkStart w:id="53" w:name="_Toc1724565"/>
      <w:bookmarkStart w:id="54" w:name="_Toc5321"/>
      <w:bookmarkStart w:id="55" w:name="_Toc15658"/>
      <w:r>
        <w:rPr>
          <w:rFonts w:ascii="宋体" w:hAnsi="宋体"/>
          <w:b/>
          <w:bCs/>
          <w:sz w:val="24"/>
          <w:szCs w:val="24"/>
          <w:highlight w:val="none"/>
        </w:rPr>
        <w:t>1.</w:t>
      </w:r>
      <w:r>
        <w:rPr>
          <w:rFonts w:hint="eastAsia" w:ascii="Calibri" w:hAnsi="Calibri"/>
          <w:b/>
          <w:bCs/>
          <w:sz w:val="24"/>
          <w:szCs w:val="24"/>
          <w:highlight w:val="none"/>
        </w:rPr>
        <w:t>定义</w:t>
      </w:r>
      <w:bookmarkEnd w:id="52"/>
      <w:bookmarkEnd w:id="53"/>
      <w:bookmarkEnd w:id="54"/>
      <w:bookmarkEnd w:id="55"/>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在合同中，下列措词和用语具有此处所赋予的它们的含义：</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1.1</w:t>
      </w:r>
      <w:r>
        <w:rPr>
          <w:rFonts w:hint="eastAsia" w:ascii="宋体" w:hAnsi="宋体"/>
          <w:kern w:val="2"/>
          <w:highlight w:val="none"/>
        </w:rPr>
        <w:t>甲方：指</w:t>
      </w:r>
      <w:r>
        <w:rPr>
          <w:rFonts w:hint="eastAsia" w:ascii="宋体" w:hAnsi="宋体"/>
          <w:highlight w:val="none"/>
          <w:u w:val="single"/>
        </w:rPr>
        <w:t>南宁轨道交通运营有限公司</w:t>
      </w:r>
      <w:r>
        <w:rPr>
          <w:rFonts w:hint="eastAsia" w:ascii="宋体" w:hAnsi="宋体"/>
          <w:kern w:val="2"/>
          <w:highlight w:val="none"/>
        </w:rPr>
        <w:t>。</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1.2</w:t>
      </w:r>
      <w:r>
        <w:rPr>
          <w:rFonts w:hint="eastAsia" w:ascii="宋体" w:hAnsi="宋体"/>
          <w:kern w:val="2"/>
          <w:highlight w:val="none"/>
        </w:rPr>
        <w:t>乙方：指受甲方委托，负责本项目培训的单位。按照合同文件规定提供完整的培训服务。</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1.3分包人：指经甲方书面同意，在本项目分包合同中担任承接分包任务的一方。</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1.</w:t>
      </w:r>
      <w:r>
        <w:rPr>
          <w:rFonts w:hint="eastAsia" w:ascii="宋体" w:hAnsi="宋体"/>
          <w:kern w:val="2"/>
          <w:highlight w:val="none"/>
        </w:rPr>
        <w:t>4合同文件（或称合同）：指合同协议书、中</w:t>
      </w:r>
      <w:r>
        <w:rPr>
          <w:rFonts w:hint="eastAsia" w:ascii="宋体" w:hAnsi="宋体"/>
          <w:kern w:val="2"/>
          <w:highlight w:val="none"/>
          <w:lang w:val="en-US" w:eastAsia="zh-CN"/>
        </w:rPr>
        <w:t>选</w:t>
      </w:r>
      <w:r>
        <w:rPr>
          <w:rFonts w:hint="eastAsia" w:ascii="宋体" w:hAnsi="宋体"/>
          <w:kern w:val="2"/>
          <w:highlight w:val="none"/>
        </w:rPr>
        <w:t>通知书、合同条款、合同附件、用户需求书、</w:t>
      </w:r>
      <w:r>
        <w:rPr>
          <w:rFonts w:hint="eastAsia" w:ascii="宋体" w:hAnsi="宋体"/>
          <w:kern w:val="2"/>
          <w:highlight w:val="none"/>
          <w:lang w:val="en-US" w:eastAsia="zh-CN"/>
        </w:rPr>
        <w:t>询比价</w:t>
      </w:r>
      <w:r>
        <w:rPr>
          <w:rFonts w:hint="eastAsia" w:ascii="宋体" w:hAnsi="宋体"/>
          <w:kern w:val="2"/>
          <w:highlight w:val="none"/>
        </w:rPr>
        <w:t>投标文件和澄清文件及甲方对培训管理的有关规定等。</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1.</w:t>
      </w:r>
      <w:r>
        <w:rPr>
          <w:rFonts w:hint="eastAsia" w:ascii="宋体" w:hAnsi="宋体"/>
          <w:kern w:val="2"/>
          <w:highlight w:val="none"/>
        </w:rPr>
        <w:t>5书面函件：指合同文件、信函、传真、电子邮件等可以有形表现记载内容的形式。</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1.6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pPr>
        <w:widowControl w:val="0"/>
        <w:outlineLvl w:val="2"/>
        <w:rPr>
          <w:rFonts w:ascii="Calibri" w:hAnsi="Calibri"/>
          <w:b/>
          <w:bCs/>
          <w:sz w:val="24"/>
          <w:szCs w:val="24"/>
          <w:highlight w:val="none"/>
        </w:rPr>
      </w:pPr>
      <w:bookmarkStart w:id="56" w:name="_Toc24850"/>
      <w:bookmarkStart w:id="57" w:name="_Toc13282"/>
      <w:bookmarkStart w:id="58" w:name="_Toc5435"/>
      <w:bookmarkStart w:id="59" w:name="_Toc1724566"/>
      <w:r>
        <w:rPr>
          <w:rFonts w:ascii="宋体" w:hAnsi="宋体"/>
          <w:b/>
          <w:bCs/>
          <w:sz w:val="24"/>
          <w:szCs w:val="24"/>
          <w:highlight w:val="none"/>
        </w:rPr>
        <w:t>2.</w:t>
      </w:r>
      <w:r>
        <w:rPr>
          <w:rFonts w:hint="eastAsia" w:ascii="宋体" w:hAnsi="宋体"/>
          <w:b/>
          <w:bCs/>
          <w:sz w:val="24"/>
          <w:szCs w:val="24"/>
          <w:highlight w:val="none"/>
        </w:rPr>
        <w:t>语</w:t>
      </w:r>
      <w:r>
        <w:rPr>
          <w:rFonts w:hint="eastAsia" w:ascii="Calibri" w:hAnsi="Calibri"/>
          <w:b/>
          <w:bCs/>
          <w:sz w:val="24"/>
          <w:szCs w:val="24"/>
          <w:highlight w:val="none"/>
        </w:rPr>
        <w:t>言文字</w:t>
      </w:r>
      <w:bookmarkEnd w:id="56"/>
      <w:bookmarkEnd w:id="57"/>
      <w:bookmarkEnd w:id="58"/>
      <w:bookmarkEnd w:id="59"/>
    </w:p>
    <w:p>
      <w:pPr>
        <w:widowControl w:val="0"/>
        <w:adjustRightInd w:val="0"/>
        <w:snapToGrid w:val="0"/>
        <w:spacing w:before="0" w:after="0" w:afterAutospacing="0"/>
        <w:ind w:left="0" w:right="0" w:firstLine="420" w:firstLineChars="200"/>
        <w:rPr>
          <w:rFonts w:ascii="Calibri" w:hAnsi="Calibri"/>
          <w:kern w:val="2"/>
          <w:highlight w:val="none"/>
        </w:rPr>
      </w:pPr>
      <w:r>
        <w:rPr>
          <w:rFonts w:hint="eastAsia" w:ascii="宋体" w:hAnsi="宋体"/>
          <w:kern w:val="2"/>
          <w:highlight w:val="none"/>
        </w:rPr>
        <w:t>除专用术语外，合同使用的语言文字为中文。专用术语在使用其他语种文字应附有中文注释。</w:t>
      </w:r>
    </w:p>
    <w:p>
      <w:pPr>
        <w:widowControl w:val="0"/>
        <w:outlineLvl w:val="2"/>
        <w:rPr>
          <w:rFonts w:ascii="Calibri" w:hAnsi="Calibri"/>
          <w:b/>
          <w:bCs/>
          <w:sz w:val="24"/>
          <w:szCs w:val="24"/>
          <w:highlight w:val="none"/>
        </w:rPr>
      </w:pPr>
      <w:bookmarkStart w:id="60" w:name="_Toc5046"/>
      <w:bookmarkStart w:id="61" w:name="_Toc17770"/>
      <w:bookmarkStart w:id="62" w:name="_Toc8727"/>
      <w:bookmarkStart w:id="63" w:name="_Toc1724567"/>
      <w:r>
        <w:rPr>
          <w:rFonts w:ascii="宋体" w:hAnsi="宋体"/>
          <w:b/>
          <w:bCs/>
          <w:sz w:val="24"/>
          <w:szCs w:val="24"/>
          <w:highlight w:val="none"/>
        </w:rPr>
        <w:t>3.</w:t>
      </w:r>
      <w:r>
        <w:rPr>
          <w:rFonts w:hint="eastAsia" w:ascii="宋体" w:hAnsi="宋体"/>
          <w:b/>
          <w:bCs/>
          <w:sz w:val="24"/>
          <w:szCs w:val="24"/>
          <w:highlight w:val="none"/>
        </w:rPr>
        <w:t>适</w:t>
      </w:r>
      <w:r>
        <w:rPr>
          <w:rFonts w:hint="eastAsia" w:ascii="Calibri" w:hAnsi="Calibri"/>
          <w:b/>
          <w:bCs/>
          <w:sz w:val="24"/>
          <w:szCs w:val="24"/>
          <w:highlight w:val="none"/>
        </w:rPr>
        <w:t>用法律、标准和规范</w:t>
      </w:r>
      <w:bookmarkEnd w:id="60"/>
      <w:bookmarkEnd w:id="61"/>
      <w:bookmarkEnd w:id="62"/>
      <w:bookmarkEnd w:id="63"/>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3.1</w:t>
      </w:r>
      <w:r>
        <w:rPr>
          <w:rFonts w:hint="eastAsia" w:ascii="宋体" w:hAnsi="宋体"/>
          <w:kern w:val="2"/>
          <w:highlight w:val="none"/>
        </w:rPr>
        <w:t>适用于合同的法律包括国家现行法律、行政法规、部门规章，以及广西壮族自治区和南宁市的地方法规、地方政府规章。</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3.2</w:t>
      </w:r>
      <w:r>
        <w:rPr>
          <w:rFonts w:hint="eastAsia" w:ascii="宋体" w:hAnsi="宋体"/>
          <w:kern w:val="2"/>
          <w:highlight w:val="none"/>
        </w:rPr>
        <w:t>适用标准、规范：除甲方的“用户需求书”的特别要求外，标准及规范应适用国家现行标准、规范；没有国家标准、规范但有行业标准、规范的，约定适用行业标准、规范；没有国家和行业标准、规范的，适用广西壮族自治区或南宁市标准、规范。</w:t>
      </w:r>
    </w:p>
    <w:p>
      <w:pPr>
        <w:spacing w:before="0" w:after="0" w:afterAutospacing="0" w:line="240" w:lineRule="auto"/>
        <w:ind w:left="0" w:right="0" w:firstLine="0"/>
        <w:rPr>
          <w:highlight w:val="none"/>
        </w:rPr>
      </w:pPr>
    </w:p>
    <w:p>
      <w:pPr>
        <w:widowControl w:val="0"/>
        <w:spacing w:before="0" w:after="0" w:afterAutospacing="0"/>
        <w:ind w:left="0" w:right="0" w:firstLine="0"/>
        <w:outlineLvl w:val="2"/>
        <w:rPr>
          <w:rFonts w:ascii="宋体" w:hAnsi="宋体"/>
          <w:b/>
          <w:bCs/>
          <w:sz w:val="24"/>
          <w:szCs w:val="24"/>
          <w:highlight w:val="none"/>
        </w:rPr>
      </w:pPr>
      <w:r>
        <w:rPr>
          <w:rFonts w:hint="eastAsia" w:ascii="宋体" w:hAnsi="宋体"/>
          <w:b/>
          <w:bCs/>
          <w:sz w:val="24"/>
          <w:szCs w:val="24"/>
          <w:highlight w:val="none"/>
        </w:rPr>
        <w:t>4</w:t>
      </w:r>
      <w:r>
        <w:rPr>
          <w:rFonts w:ascii="宋体" w:hAnsi="宋体"/>
          <w:b/>
          <w:bCs/>
          <w:sz w:val="24"/>
          <w:szCs w:val="24"/>
          <w:highlight w:val="none"/>
        </w:rPr>
        <w:t>.甲</w:t>
      </w:r>
      <w:r>
        <w:rPr>
          <w:rFonts w:hint="eastAsia" w:ascii="宋体" w:hAnsi="宋体"/>
          <w:b/>
          <w:bCs/>
          <w:sz w:val="24"/>
          <w:szCs w:val="24"/>
          <w:highlight w:val="none"/>
        </w:rPr>
        <w:t>乙</w:t>
      </w:r>
      <w:r>
        <w:rPr>
          <w:rFonts w:ascii="宋体" w:hAnsi="宋体"/>
          <w:b/>
          <w:bCs/>
          <w:sz w:val="24"/>
          <w:szCs w:val="24"/>
          <w:highlight w:val="none"/>
        </w:rPr>
        <w:t>方权利义务</w:t>
      </w:r>
    </w:p>
    <w:p>
      <w:pPr>
        <w:widowControl w:val="0"/>
        <w:spacing w:before="0" w:after="0" w:afterAutospacing="0"/>
        <w:ind w:left="0" w:right="0" w:firstLine="422" w:firstLineChars="200"/>
        <w:rPr>
          <w:rFonts w:ascii="宋体" w:hAnsi="宋体"/>
          <w:b/>
          <w:bCs/>
          <w:highlight w:val="none"/>
        </w:rPr>
      </w:pPr>
      <w:r>
        <w:rPr>
          <w:rFonts w:hint="eastAsia" w:ascii="宋体" w:hAnsi="宋体"/>
          <w:b/>
          <w:bCs/>
          <w:highlight w:val="none"/>
        </w:rPr>
        <w:t>4.1甲方的权利与义务</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4.1.1甲方有权向乙方询问工作进展情况及相关内容；甲方有权阐述对具体问题的意见和建议。</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4.1.2当甲方认定乙方项目负责人或者相关专业人员不按合同履行其职责，或在责任期内因工作疏忽、失误给甲方造成经济损失的：一次甲方提出警告，两次扣合同金额的百分之一罚金，三次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4.1.3因乙方原因造成甲方重大损失的，甲方有权随时解除本合同并要求乙方承担相应的赔偿责任。</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4.1.4因乙方未按合同约定按时按质完成工作内容，达不到甲方的要求，甲方有权要求解除本合同并要求乙方承担相应的赔偿责任。</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4.1.5及时按照约定的方式，确认服务工作范围和需求、确认乙方每个阶段的工作。</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4.1.6甲方应按照合同约定的付款方式、付款时间及金额向乙方支付费用。</w:t>
      </w:r>
    </w:p>
    <w:p>
      <w:pPr>
        <w:snapToGrid w:val="0"/>
        <w:ind w:left="0" w:firstLine="422" w:firstLineChars="200"/>
        <w:rPr>
          <w:rFonts w:ascii="宋体" w:hAnsi="宋体"/>
          <w:b/>
          <w:highlight w:val="none"/>
        </w:rPr>
      </w:pPr>
      <w:r>
        <w:rPr>
          <w:rFonts w:hint="eastAsia" w:ascii="宋体" w:hAnsi="宋体"/>
          <w:b/>
          <w:highlight w:val="none"/>
        </w:rPr>
        <w:t>4.2 乙方的权利与义务</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4.2.1中</w:t>
      </w:r>
      <w:r>
        <w:rPr>
          <w:rFonts w:hint="eastAsia" w:ascii="宋体" w:hAnsi="宋体"/>
          <w:highlight w:val="none"/>
          <w:lang w:val="en-US" w:eastAsia="zh-CN"/>
        </w:rPr>
        <w:t>选</w:t>
      </w:r>
      <w:r>
        <w:rPr>
          <w:rFonts w:hint="eastAsia" w:ascii="宋体" w:hAnsi="宋体"/>
          <w:highlight w:val="none"/>
        </w:rPr>
        <w:t>通知书发出后乙方和甲方协商时间，确保培训的质量和进度开展培训工作。</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4.2.2乙方需每月组织开班，自收到甲方开班需求之日起，一个月内需安排甲方进行培训，乙方负责在培训时期提供学员必须的教材、培训资料等。</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4.2.3乙方在每次开班前提前一个月通知甲方，甲方在每次培训前提前两周答复该批次的参训人数并组织学员按时参训。</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4.2.4乙方根据甲方提供的学员名单开展培训，并于每期培训结束后15个工作日内提供培训人员的签到表。</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4.2.5培训完成后乙方及时协助甲方学员进行考试报名，并在考试前进行辅导，考试完成后跟进学员考试成绩并及时提供给甲方。</w:t>
      </w:r>
    </w:p>
    <w:p>
      <w:pPr>
        <w:widowControl w:val="0"/>
        <w:spacing w:before="0" w:after="0" w:afterAutospacing="0"/>
        <w:ind w:left="0" w:right="0" w:firstLine="420" w:firstLineChars="200"/>
        <w:rPr>
          <w:rFonts w:ascii="宋体" w:hAnsi="宋体"/>
          <w:highlight w:val="none"/>
        </w:rPr>
      </w:pPr>
      <w:r>
        <w:rPr>
          <w:rFonts w:hint="eastAsia" w:ascii="宋体" w:hAnsi="宋体"/>
          <w:highlight w:val="none"/>
        </w:rPr>
        <w:t>4.2.6培训结束后，如甲方培训人员参加考试不合格，乙方在服务期内免费组织后续培训，第二次及以后重新报名考试的，考试费由员工自行承担。合格包括以下几种情形：①首次参加一次性合格的；</w:t>
      </w:r>
      <w:r>
        <w:rPr>
          <w:rFonts w:hint="eastAsia" w:ascii="宋体" w:hAnsi="宋体" w:cs="宋体"/>
          <w:highlight w:val="none"/>
        </w:rPr>
        <w:t>②</w:t>
      </w:r>
      <w:r>
        <w:rPr>
          <w:rFonts w:hint="eastAsia" w:ascii="宋体" w:hAnsi="宋体"/>
          <w:highlight w:val="none"/>
        </w:rPr>
        <w:t>补考合格的；</w:t>
      </w:r>
      <w:r>
        <w:rPr>
          <w:rFonts w:hint="eastAsia" w:ascii="宋体" w:hAnsi="宋体" w:cs="宋体"/>
          <w:highlight w:val="none"/>
        </w:rPr>
        <w:t>③</w:t>
      </w:r>
      <w:r>
        <w:rPr>
          <w:rFonts w:hint="eastAsia" w:ascii="宋体" w:hAnsi="宋体"/>
          <w:highlight w:val="none"/>
        </w:rPr>
        <w:t>因第一次考试未合格然后参加了乙方提供的免费培训之后再次考试才合格的。</w:t>
      </w:r>
    </w:p>
    <w:p>
      <w:pPr>
        <w:widowControl w:val="0"/>
        <w:spacing w:before="0" w:after="0" w:afterAutospacing="0"/>
        <w:ind w:left="0" w:right="0" w:firstLine="420" w:firstLineChars="200"/>
        <w:rPr>
          <w:highlight w:val="none"/>
        </w:rPr>
      </w:pPr>
      <w:r>
        <w:rPr>
          <w:rFonts w:hint="eastAsia" w:ascii="宋体" w:hAnsi="宋体"/>
          <w:highlight w:val="none"/>
        </w:rPr>
        <w:t>4.2.7乙方应对甲方提供的基础资料保密，不得用于本项目以外的项目。乙方应遵守本合同之保密要求，并采取相应的保密措施，以防泄露服务成果；保密义务在本合同有效期内及本合同终止后持续存在。</w:t>
      </w:r>
    </w:p>
    <w:p>
      <w:pPr>
        <w:widowControl w:val="0"/>
        <w:numPr>
          <w:ilvl w:val="255"/>
          <w:numId w:val="0"/>
        </w:numPr>
        <w:spacing w:before="0" w:after="0" w:afterAutospacing="0"/>
        <w:ind w:right="0"/>
        <w:outlineLvl w:val="2"/>
        <w:rPr>
          <w:rFonts w:ascii="宋体" w:hAnsi="宋体"/>
          <w:b/>
          <w:bCs/>
          <w:sz w:val="24"/>
          <w:szCs w:val="24"/>
          <w:highlight w:val="none"/>
        </w:rPr>
      </w:pPr>
      <w:r>
        <w:rPr>
          <w:rFonts w:hint="eastAsia" w:ascii="宋体" w:hAnsi="宋体"/>
          <w:b/>
          <w:bCs/>
          <w:sz w:val="24"/>
          <w:szCs w:val="24"/>
          <w:highlight w:val="none"/>
        </w:rPr>
        <w:t>5</w:t>
      </w:r>
      <w:r>
        <w:rPr>
          <w:rFonts w:ascii="宋体" w:hAnsi="宋体"/>
          <w:b/>
          <w:bCs/>
          <w:sz w:val="24"/>
          <w:szCs w:val="24"/>
          <w:highlight w:val="none"/>
        </w:rPr>
        <w:t>.合同价</w:t>
      </w:r>
      <w:r>
        <w:rPr>
          <w:rFonts w:hint="eastAsia" w:ascii="宋体" w:hAnsi="宋体"/>
          <w:b/>
          <w:bCs/>
          <w:sz w:val="24"/>
          <w:szCs w:val="24"/>
          <w:highlight w:val="none"/>
        </w:rPr>
        <w:t>格</w:t>
      </w:r>
    </w:p>
    <w:p>
      <w:pPr>
        <w:widowControl w:val="0"/>
        <w:spacing w:before="0" w:after="0" w:afterAutospacing="0" w:line="440" w:lineRule="exact"/>
        <w:ind w:left="0" w:right="0" w:firstLine="420" w:firstLineChars="200"/>
        <w:rPr>
          <w:rFonts w:ascii="宋体" w:hAnsi="宋体"/>
          <w:highlight w:val="none"/>
        </w:rPr>
      </w:pPr>
      <w:r>
        <w:rPr>
          <w:rFonts w:hint="eastAsia" w:ascii="宋体" w:hAnsi="宋体"/>
          <w:highlight w:val="none"/>
        </w:rPr>
        <w:t>5.1本合同不含增值税总价：人民币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；含税总价：人民币</w:t>
      </w:r>
      <w:r>
        <w:rPr>
          <w:rFonts w:hint="eastAsia" w:ascii="宋体" w:hAnsi="宋体"/>
          <w:highlight w:val="none"/>
          <w:u w:val="single"/>
        </w:rPr>
        <w:t xml:space="preserve">       (¥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lang w:val="en-US" w:eastAsia="zh-CN"/>
        </w:rPr>
        <w:t>01-1</w:t>
      </w:r>
      <w:r>
        <w:rPr>
          <w:rFonts w:hint="eastAsia"/>
          <w:highlight w:val="none"/>
        </w:rPr>
        <w:t>标：</w:t>
      </w:r>
      <w:r>
        <w:rPr>
          <w:rFonts w:hint="eastAsia" w:ascii="宋体" w:hAnsi="宋体"/>
          <w:highlight w:val="none"/>
        </w:rPr>
        <w:t>低压电工作业证900本（新取证）不含增值税单价为：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spacing w:line="240" w:lineRule="auto"/>
        <w:rPr>
          <w:rFonts w:ascii="宋体" w:hAnsi="宋体"/>
          <w:highlight w:val="none"/>
          <w:u w:val="singl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ind w:left="0" w:firstLine="0"/>
        <w:rPr>
          <w:rFonts w:ascii="宋体" w:hAnsi="宋体"/>
          <w:highlight w:val="none"/>
        </w:rPr>
      </w:pPr>
      <w:r>
        <w:rPr>
          <w:rFonts w:hint="eastAsia" w:ascii="宋体" w:hAnsi="宋体"/>
          <w:highlight w:val="none"/>
        </w:rPr>
        <w:t>低压电工作业证3700本（复审取证）不含增值税单价为：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spacing w:line="240" w:lineRule="auto"/>
        <w:rPr>
          <w:rFonts w:ascii="宋体" w:hAnsi="宋体"/>
          <w:highlight w:val="none"/>
          <w:u w:val="singl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rPr>
          <w:rFonts w:ascii="宋体" w:hAnsi="宋体"/>
          <w:highlight w:val="none"/>
        </w:rPr>
      </w:pPr>
      <w:r>
        <w:rPr>
          <w:rFonts w:hint="eastAsia" w:ascii="宋体" w:hAnsi="宋体" w:cs="宋体"/>
          <w:color w:val="000000"/>
          <w:sz w:val="22"/>
          <w:szCs w:val="22"/>
          <w:highlight w:val="none"/>
        </w:rPr>
        <w:t>焊接与热切割作业证35本（</w:t>
      </w:r>
      <w:r>
        <w:rPr>
          <w:rFonts w:hint="eastAsia" w:ascii="宋体" w:hAnsi="宋体"/>
          <w:highlight w:val="none"/>
        </w:rPr>
        <w:t>新取证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pStyle w:val="2"/>
        <w:rPr>
          <w:highlight w:val="none"/>
        </w:rPr>
      </w:pPr>
      <w:r>
        <w:rPr>
          <w:rFonts w:hint="eastAsia" w:hAnsi="宋体"/>
          <w:highlight w:val="none"/>
        </w:rPr>
        <w:t>含税总价：人民币</w:t>
      </w:r>
      <w:r>
        <w:rPr>
          <w:rFonts w:hint="eastAsia" w:hAnsi="宋体"/>
          <w:highlight w:val="none"/>
          <w:u w:val="single"/>
        </w:rPr>
        <w:t xml:space="preserve">       (¥  )；</w:t>
      </w:r>
    </w:p>
    <w:p>
      <w:pPr>
        <w:spacing w:line="240" w:lineRule="auto"/>
        <w:rPr>
          <w:rFonts w:ascii="宋体" w:hAnsi="宋体"/>
          <w:highlight w:val="none"/>
        </w:rPr>
      </w:pPr>
      <w:r>
        <w:rPr>
          <w:rFonts w:hint="eastAsia" w:ascii="宋体" w:hAnsi="宋体" w:cs="宋体"/>
          <w:color w:val="000000"/>
          <w:sz w:val="22"/>
          <w:szCs w:val="22"/>
          <w:highlight w:val="none"/>
        </w:rPr>
        <w:t>焊接与热切割作业证330本（</w:t>
      </w:r>
      <w:r>
        <w:rPr>
          <w:rFonts w:hint="eastAsia" w:ascii="宋体" w:hAnsi="宋体"/>
          <w:highlight w:val="none"/>
        </w:rPr>
        <w:t>复审取证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rPr>
          <w:highlight w:val="non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rPr>
          <w:rFonts w:ascii="宋体" w:hAnsi="宋体"/>
          <w:highlight w:val="none"/>
        </w:rPr>
      </w:pPr>
      <w:r>
        <w:rPr>
          <w:rFonts w:hint="eastAsia" w:ascii="宋体" w:hAnsi="宋体"/>
          <w:highlight w:val="none"/>
          <w:lang w:val="en-US" w:eastAsia="zh-CN"/>
        </w:rPr>
        <w:t>01-2</w:t>
      </w:r>
      <w:bookmarkStart w:id="150" w:name="_GoBack"/>
      <w:bookmarkEnd w:id="150"/>
      <w:r>
        <w:rPr>
          <w:rFonts w:hint="eastAsia" w:ascii="宋体" w:hAnsi="宋体" w:cs="宋体"/>
          <w:highlight w:val="none"/>
        </w:rPr>
        <w:t>标：</w:t>
      </w:r>
      <w:r>
        <w:rPr>
          <w:rFonts w:hint="eastAsia" w:ascii="宋体" w:hAnsi="宋体" w:cs="宋体"/>
          <w:color w:val="000000"/>
          <w:sz w:val="22"/>
          <w:szCs w:val="22"/>
          <w:highlight w:val="none"/>
        </w:rPr>
        <w:t>高处作业证500本（</w:t>
      </w:r>
      <w:r>
        <w:rPr>
          <w:rFonts w:hint="eastAsia" w:ascii="宋体" w:hAnsi="宋体"/>
          <w:highlight w:val="none"/>
        </w:rPr>
        <w:t>新取证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spacing w:line="240" w:lineRule="auto"/>
        <w:rPr>
          <w:highlight w:val="none"/>
        </w:rPr>
      </w:pPr>
      <w:r>
        <w:rPr>
          <w:rFonts w:hint="eastAsia" w:ascii="宋体" w:hAnsi="宋体"/>
          <w:highlight w:val="none"/>
        </w:rPr>
        <w:t>含税总价：人民币</w:t>
      </w:r>
      <w:r>
        <w:rPr>
          <w:rFonts w:hint="eastAsia" w:ascii="宋体" w:hAnsi="宋体"/>
          <w:highlight w:val="none"/>
          <w:u w:val="single"/>
        </w:rPr>
        <w:t xml:space="preserve">       (¥  )；</w:t>
      </w:r>
    </w:p>
    <w:p>
      <w:pPr>
        <w:spacing w:line="240" w:lineRule="auto"/>
        <w:ind w:left="0" w:firstLine="0"/>
        <w:rPr>
          <w:rFonts w:ascii="宋体" w:hAnsi="宋体"/>
          <w:highlight w:val="none"/>
        </w:rPr>
      </w:pPr>
      <w:r>
        <w:rPr>
          <w:rFonts w:hint="eastAsia" w:ascii="宋体" w:hAnsi="宋体" w:cs="宋体"/>
          <w:color w:val="000000"/>
          <w:sz w:val="22"/>
          <w:szCs w:val="22"/>
          <w:highlight w:val="none"/>
        </w:rPr>
        <w:t>高处作业证2500本（</w:t>
      </w:r>
      <w:r>
        <w:rPr>
          <w:rFonts w:hint="eastAsia" w:ascii="宋体" w:hAnsi="宋体"/>
          <w:highlight w:val="none"/>
        </w:rPr>
        <w:t>复审取证</w:t>
      </w:r>
      <w:r>
        <w:rPr>
          <w:rFonts w:hint="eastAsia" w:ascii="宋体" w:hAnsi="宋体" w:cs="宋体"/>
          <w:color w:val="000000"/>
          <w:sz w:val="22"/>
          <w:szCs w:val="22"/>
          <w:highlight w:val="none"/>
        </w:rPr>
        <w:t>）</w:t>
      </w:r>
      <w:r>
        <w:rPr>
          <w:rFonts w:hint="eastAsia" w:ascii="宋体" w:hAnsi="宋体"/>
          <w:highlight w:val="none"/>
        </w:rPr>
        <w:t>不含增值税单价为：</w:t>
      </w:r>
      <w:r>
        <w:rPr>
          <w:rFonts w:hint="eastAsia" w:ascii="宋体" w:hAnsi="宋体"/>
          <w:highlight w:val="none"/>
          <w:u w:val="single"/>
        </w:rPr>
        <w:t xml:space="preserve">         </w:t>
      </w:r>
      <w:r>
        <w:rPr>
          <w:rFonts w:hint="eastAsia" w:ascii="宋体" w:hAnsi="宋体"/>
          <w:highlight w:val="none"/>
        </w:rPr>
        <w:t>；</w:t>
      </w:r>
    </w:p>
    <w:p>
      <w:pPr>
        <w:spacing w:line="240" w:lineRule="auto"/>
        <w:rPr>
          <w:rFonts w:ascii="宋体" w:hAnsi="宋体"/>
          <w:highlight w:val="none"/>
        </w:rPr>
      </w:pPr>
      <w:r>
        <w:rPr>
          <w:rFonts w:hint="eastAsia" w:ascii="宋体" w:hAnsi="宋体"/>
          <w:highlight w:val="none"/>
        </w:rPr>
        <w:t>不含增值税总价：人民币</w:t>
      </w:r>
      <w:r>
        <w:rPr>
          <w:rFonts w:hint="eastAsia" w:ascii="宋体" w:hAnsi="宋体"/>
          <w:highlight w:val="none"/>
          <w:u w:val="single"/>
        </w:rPr>
        <w:t xml:space="preserve">       (¥  )</w:t>
      </w:r>
      <w:r>
        <w:rPr>
          <w:rFonts w:hint="eastAsia" w:ascii="宋体" w:hAnsi="宋体"/>
          <w:highlight w:val="none"/>
        </w:rPr>
        <w:t>；增值税额：人民币</w:t>
      </w:r>
      <w:r>
        <w:rPr>
          <w:rFonts w:hint="eastAsia" w:ascii="宋体" w:hAnsi="宋体"/>
          <w:highlight w:val="none"/>
          <w:u w:val="single"/>
        </w:rPr>
        <w:t xml:space="preserve">       (¥  )</w:t>
      </w:r>
      <w:r>
        <w:rPr>
          <w:rFonts w:hint="eastAsia" w:ascii="宋体" w:hAnsi="宋体"/>
          <w:highlight w:val="none"/>
        </w:rPr>
        <w:t>；增值税税率</w:t>
      </w:r>
      <w:r>
        <w:rPr>
          <w:rFonts w:hint="eastAsia" w:ascii="宋体" w:hAnsi="宋体"/>
          <w:highlight w:val="none"/>
          <w:u w:val="single"/>
        </w:rPr>
        <w:t>：  %</w:t>
      </w:r>
      <w:r>
        <w:rPr>
          <w:rFonts w:hint="eastAsia" w:ascii="宋体" w:hAnsi="宋体"/>
          <w:highlight w:val="none"/>
        </w:rPr>
        <w:t>；</w:t>
      </w:r>
    </w:p>
    <w:p>
      <w:pPr>
        <w:pStyle w:val="2"/>
        <w:rPr>
          <w:rFonts w:hAnsi="宋体"/>
          <w:highlight w:val="none"/>
          <w:u w:val="single"/>
        </w:rPr>
      </w:pPr>
      <w:r>
        <w:rPr>
          <w:rFonts w:hint="eastAsia" w:hAnsi="宋体"/>
          <w:highlight w:val="none"/>
        </w:rPr>
        <w:t>含税总价：人民币</w:t>
      </w:r>
      <w:r>
        <w:rPr>
          <w:rFonts w:hint="eastAsia" w:hAnsi="宋体"/>
          <w:highlight w:val="none"/>
          <w:u w:val="single"/>
        </w:rPr>
        <w:t xml:space="preserve">       (¥  )；</w:t>
      </w:r>
    </w:p>
    <w:p>
      <w:pPr>
        <w:spacing w:line="240" w:lineRule="auto"/>
        <w:rPr>
          <w:rFonts w:ascii="宋体" w:hAnsi="宋体"/>
          <w:highlight w:val="none"/>
          <w:u w:val="single"/>
        </w:rPr>
      </w:pPr>
    </w:p>
    <w:p>
      <w:pPr>
        <w:widowControl w:val="0"/>
        <w:spacing w:before="0" w:after="0" w:afterAutospacing="0" w:line="440" w:lineRule="exact"/>
        <w:ind w:left="0" w:right="0" w:firstLine="420" w:firstLineChars="200"/>
        <w:rPr>
          <w:rFonts w:ascii="宋体" w:hAnsi="宋体"/>
          <w:highlight w:val="none"/>
        </w:rPr>
      </w:pPr>
      <w:r>
        <w:rPr>
          <w:rFonts w:hint="eastAsia" w:ascii="宋体" w:hAnsi="宋体"/>
          <w:highlight w:val="none"/>
        </w:rPr>
        <w:t>在合同履约过程中，本合同税率必须遵照国家现行税法执行。本合同最终税金在结算阶段，按实际产生的税金进行核算。但合同不含增值税价格不因国家税率调整而调整。</w:t>
      </w:r>
    </w:p>
    <w:p>
      <w:pPr>
        <w:widowControl w:val="0"/>
        <w:spacing w:before="0" w:after="0" w:afterAutospacing="0" w:line="440" w:lineRule="exact"/>
        <w:ind w:left="0" w:right="0" w:firstLine="420" w:firstLineChars="200"/>
        <w:rPr>
          <w:rFonts w:ascii="宋体" w:hAnsi="宋体"/>
          <w:highlight w:val="none"/>
        </w:rPr>
      </w:pPr>
      <w:r>
        <w:rPr>
          <w:rFonts w:hint="eastAsia" w:ascii="宋体" w:hAnsi="宋体"/>
          <w:highlight w:val="none"/>
        </w:rPr>
        <w:t>5.2</w:t>
      </w:r>
      <w:r>
        <w:rPr>
          <w:rFonts w:hint="eastAsia"/>
          <w:highlight w:val="none"/>
        </w:rPr>
        <w:t>合同价格形式：本项目采用固定</w:t>
      </w:r>
      <w:r>
        <w:rPr>
          <w:highlight w:val="none"/>
        </w:rPr>
        <w:t>综合单价</w:t>
      </w:r>
      <w:r>
        <w:rPr>
          <w:rFonts w:hint="eastAsia"/>
          <w:highlight w:val="none"/>
        </w:rPr>
        <w:t>，包含但不限于培训、场地、教材费、题库费、人工成本、管理费、利润、保险等全过程产生除增值税外的一切费用</w:t>
      </w:r>
      <w:r>
        <w:rPr>
          <w:rFonts w:hint="eastAsia"/>
          <w:b/>
          <w:bCs/>
          <w:color w:val="FF0000"/>
          <w:highlight w:val="none"/>
        </w:rPr>
        <w:t>（不含考试费）</w:t>
      </w:r>
      <w:r>
        <w:rPr>
          <w:rFonts w:hint="eastAsia"/>
          <w:highlight w:val="none"/>
        </w:rPr>
        <w:t>。服务费用以实际发生的服务项目及数量进行计价，服务项目的综合单价以</w:t>
      </w:r>
      <w:r>
        <w:rPr>
          <w:rFonts w:hint="eastAsia"/>
          <w:highlight w:val="none"/>
          <w:lang w:val="en-US" w:eastAsia="zh-CN"/>
        </w:rPr>
        <w:t>分项</w:t>
      </w:r>
      <w:r>
        <w:rPr>
          <w:rFonts w:hint="eastAsia"/>
          <w:highlight w:val="none"/>
        </w:rPr>
        <w:t>报价表的价格为准。</w:t>
      </w:r>
    </w:p>
    <w:p>
      <w:pPr>
        <w:snapToGrid w:val="0"/>
        <w:spacing w:afterAutospacing="0"/>
        <w:ind w:left="0" w:firstLine="420" w:firstLineChars="200"/>
        <w:jc w:val="left"/>
        <w:rPr>
          <w:rFonts w:ascii="宋体" w:hAnsi="宋体"/>
          <w:highlight w:val="none"/>
        </w:rPr>
      </w:pPr>
      <w:r>
        <w:rPr>
          <w:rFonts w:hint="eastAsia" w:ascii="宋体" w:hAnsi="宋体"/>
          <w:highlight w:val="none"/>
        </w:rPr>
        <w:t>5.3培训的人员数量为预计数量，最终培训人数以甲方安排人数为准，最终计价按通过考试取得特种作业证书数量为准。</w:t>
      </w:r>
    </w:p>
    <w:p>
      <w:pPr>
        <w:snapToGrid w:val="0"/>
        <w:spacing w:afterAutospacing="0"/>
        <w:ind w:left="0" w:firstLine="420" w:firstLineChars="200"/>
        <w:jc w:val="left"/>
        <w:rPr>
          <w:rFonts w:ascii="宋体" w:hAnsi="宋体"/>
          <w:highlight w:val="none"/>
        </w:rPr>
      </w:pPr>
      <w:r>
        <w:rPr>
          <w:rFonts w:hint="eastAsia" w:ascii="宋体" w:hAnsi="宋体"/>
          <w:highlight w:val="none"/>
        </w:rPr>
        <w:t>5.4因本项目的人员数量为预估的数量，合同总价格为暂定价格，具体结算金额以</w:t>
      </w:r>
      <w:r>
        <w:rPr>
          <w:rFonts w:hint="eastAsia"/>
          <w:highlight w:val="none"/>
        </w:rPr>
        <w:t>最终实际通过培训并取得证书</w:t>
      </w:r>
      <w:r>
        <w:rPr>
          <w:rFonts w:hint="eastAsia" w:ascii="宋体" w:hAnsi="宋体"/>
          <w:highlight w:val="none"/>
        </w:rPr>
        <w:t>的人员数量为准。</w:t>
      </w:r>
    </w:p>
    <w:p>
      <w:pPr>
        <w:widowControl w:val="0"/>
        <w:spacing w:before="0" w:after="0" w:afterAutospacing="0"/>
        <w:ind w:left="0" w:right="0" w:firstLine="0"/>
        <w:jc w:val="left"/>
        <w:outlineLvl w:val="2"/>
        <w:rPr>
          <w:rFonts w:ascii="宋体" w:hAnsi="宋体"/>
          <w:b/>
          <w:bCs/>
          <w:sz w:val="24"/>
          <w:szCs w:val="24"/>
          <w:highlight w:val="none"/>
        </w:rPr>
      </w:pPr>
      <w:r>
        <w:rPr>
          <w:rFonts w:hint="eastAsia" w:ascii="宋体" w:hAnsi="宋体"/>
          <w:b/>
          <w:bCs/>
          <w:sz w:val="24"/>
          <w:szCs w:val="24"/>
          <w:highlight w:val="none"/>
        </w:rPr>
        <w:t>6.合同服务期：</w:t>
      </w:r>
      <w:r>
        <w:rPr>
          <w:rFonts w:hint="eastAsia" w:ascii="宋体" w:hAnsi="宋体"/>
          <w:highlight w:val="none"/>
        </w:rPr>
        <w:t>60个月，中</w:t>
      </w:r>
      <w:r>
        <w:rPr>
          <w:rFonts w:hint="eastAsia" w:ascii="宋体" w:hAnsi="宋体"/>
          <w:highlight w:val="none"/>
          <w:lang w:val="en-US" w:eastAsia="zh-CN"/>
        </w:rPr>
        <w:t>选</w:t>
      </w:r>
      <w:r>
        <w:rPr>
          <w:rFonts w:hint="eastAsia" w:ascii="宋体" w:hAnsi="宋体"/>
          <w:highlight w:val="none"/>
        </w:rPr>
        <w:t>通知书发出起计算。</w:t>
      </w:r>
    </w:p>
    <w:p>
      <w:pPr>
        <w:widowControl w:val="0"/>
        <w:spacing w:before="0" w:after="0" w:afterAutospacing="0"/>
        <w:ind w:left="0" w:right="0" w:firstLine="0"/>
        <w:jc w:val="left"/>
        <w:outlineLvl w:val="2"/>
        <w:rPr>
          <w:rFonts w:ascii="宋体" w:hAnsi="宋体"/>
          <w:b/>
          <w:bCs/>
          <w:sz w:val="24"/>
          <w:szCs w:val="24"/>
          <w:highlight w:val="none"/>
        </w:rPr>
      </w:pPr>
      <w:r>
        <w:rPr>
          <w:rFonts w:hint="eastAsia" w:ascii="宋体" w:hAnsi="宋体"/>
          <w:b/>
          <w:bCs/>
          <w:sz w:val="24"/>
          <w:szCs w:val="24"/>
          <w:highlight w:val="none"/>
        </w:rPr>
        <w:t>7</w:t>
      </w:r>
      <w:r>
        <w:rPr>
          <w:rFonts w:ascii="宋体" w:hAnsi="宋体"/>
          <w:b/>
          <w:bCs/>
          <w:sz w:val="24"/>
          <w:szCs w:val="24"/>
          <w:highlight w:val="none"/>
        </w:rPr>
        <w:t>.费用支付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7.1.进度款计量计价和支付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7.1.1每半年进行一次计量支付。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7.1.2甲方在收到由乙方提供的以下合格材料后60个工作日内按当期实际完成服务金额100%支付。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③培训完成获得南宁市行政审批局核发的特种作业证书等。</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7.2.结算款计量计价和支付</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7.2.1乙方根据甲方要求完成档案归档及合同结算经甲方审定后，乙方向甲方提供以下材料，申请末次计量计价。甲方收到乙方提供的材料后，60个工作日内支付至合同最终结算审定金额的100%。</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①乙方开具的增值税专用发票（发票金额为合同最终结算审定金额的100%扣除已开票部分的余额。）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③结算审定资料。</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④乙方完成合同约定所有的工作内容且经甲方终验合格。</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highlight w:val="none"/>
        </w:rPr>
        <w:t>7.3 乙方未按时提供计量计价、结算资料的，甲方有权不予办理结算手续直至乙方递交齐全为止，在此期间乙方还须继续履行合同义务，因此所造成损失的由乙方承担。</w:t>
      </w:r>
    </w:p>
    <w:p>
      <w:pPr>
        <w:snapToGrid w:val="0"/>
        <w:spacing w:before="0" w:after="0" w:afterAutospacing="0"/>
        <w:ind w:left="0" w:right="-28" w:firstLine="420" w:firstLineChars="200"/>
        <w:jc w:val="left"/>
        <w:rPr>
          <w:rFonts w:ascii="宋体" w:hAnsi="宋体"/>
          <w:highlight w:val="none"/>
        </w:rPr>
      </w:pPr>
      <w:r>
        <w:rPr>
          <w:rFonts w:hint="eastAsia" w:ascii="宋体" w:hAnsi="宋体" w:cs="Arial"/>
          <w:highlight w:val="none"/>
        </w:rPr>
        <w:t>7</w:t>
      </w:r>
      <w:r>
        <w:rPr>
          <w:rFonts w:hint="eastAsia" w:ascii="宋体" w:hAnsi="宋体"/>
          <w:highlight w:val="none"/>
        </w:rPr>
        <w:t>.4服务期内，如有发生违约考核，甲方可在当期的支付款中直接扣除违约金，如当期支付款不足，可在下期支付款项中扣除。结算审定金额与合同计量的差额可在结算款中补付或补扣，乙方未按时提供结算资料的，</w:t>
      </w:r>
      <w:r>
        <w:rPr>
          <w:rFonts w:hint="eastAsia"/>
          <w:highlight w:val="none"/>
        </w:rPr>
        <w:t>导致甲方无法及时办理计量计价手续</w:t>
      </w:r>
      <w:r>
        <w:rPr>
          <w:rFonts w:hint="eastAsia" w:ascii="宋体" w:hAnsi="宋体"/>
          <w:highlight w:val="none"/>
        </w:rPr>
        <w:t>，所造成损失的由乙方承担。</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7.5合同执行期间产生的乙方应支付的违约金，甲方有权直接从支付款项里面扣除。</w:t>
      </w:r>
    </w:p>
    <w:p>
      <w:pPr>
        <w:tabs>
          <w:tab w:val="left" w:pos="1134"/>
          <w:tab w:val="left" w:pos="8364"/>
        </w:tabs>
        <w:spacing w:before="0" w:after="0" w:afterAutospacing="0"/>
        <w:ind w:left="0" w:right="0" w:firstLine="420" w:firstLineChars="200"/>
        <w:rPr>
          <w:highlight w:val="none"/>
        </w:rPr>
      </w:pPr>
      <w:r>
        <w:rPr>
          <w:rFonts w:hint="eastAsia" w:ascii="宋体" w:hAnsi="宋体" w:cs="Arial"/>
          <w:highlight w:val="none"/>
        </w:rPr>
        <w:t>7.6支付的货币应以人民币支付，但不限于银行转账、汇票、国内信用证、供应链金融产品等支付形式。</w:t>
      </w:r>
    </w:p>
    <w:p>
      <w:pPr>
        <w:widowControl w:val="0"/>
        <w:outlineLvl w:val="2"/>
        <w:rPr>
          <w:rFonts w:ascii="宋体" w:hAnsi="宋体"/>
          <w:b/>
          <w:bCs/>
          <w:sz w:val="24"/>
          <w:szCs w:val="24"/>
          <w:highlight w:val="none"/>
        </w:rPr>
      </w:pPr>
      <w:r>
        <w:rPr>
          <w:rFonts w:hint="eastAsia" w:ascii="宋体" w:hAnsi="宋体"/>
          <w:b/>
          <w:bCs/>
          <w:sz w:val="24"/>
          <w:szCs w:val="24"/>
          <w:highlight w:val="none"/>
        </w:rPr>
        <w:t>8.变更</w:t>
      </w:r>
    </w:p>
    <w:p>
      <w:pPr>
        <w:widowControl w:val="0"/>
        <w:snapToGrid w:val="0"/>
        <w:spacing w:before="0" w:after="0" w:afterAutospacing="0"/>
        <w:ind w:left="0" w:right="0" w:firstLine="420" w:firstLineChars="200"/>
        <w:rPr>
          <w:rFonts w:ascii="宋体" w:hAnsi="宋体"/>
          <w:kern w:val="2"/>
          <w:szCs w:val="24"/>
          <w:highlight w:val="none"/>
        </w:rPr>
      </w:pPr>
      <w:r>
        <w:rPr>
          <w:rFonts w:hint="eastAsia" w:ascii="宋体" w:hAnsi="宋体"/>
          <w:kern w:val="2"/>
          <w:szCs w:val="24"/>
          <w:highlight w:val="none"/>
        </w:rPr>
        <w:t>合同执行过程中，除以下情况外，合同总价均不予调整：</w:t>
      </w:r>
    </w:p>
    <w:p>
      <w:pPr>
        <w:widowControl w:val="0"/>
        <w:snapToGrid w:val="0"/>
        <w:spacing w:before="0" w:after="0" w:afterAutospacing="0"/>
        <w:ind w:left="0" w:right="0" w:firstLine="420" w:firstLineChars="200"/>
        <w:rPr>
          <w:rFonts w:ascii="宋体" w:hAnsi="宋体"/>
          <w:kern w:val="2"/>
          <w:szCs w:val="24"/>
          <w:highlight w:val="none"/>
        </w:rPr>
      </w:pPr>
      <w:r>
        <w:rPr>
          <w:rFonts w:hint="eastAsia" w:ascii="宋体" w:hAnsi="宋体"/>
          <w:kern w:val="2"/>
          <w:szCs w:val="24"/>
          <w:highlight w:val="none"/>
        </w:rPr>
        <w:t>（1）本项目范围发生变化的；</w:t>
      </w:r>
    </w:p>
    <w:p>
      <w:pPr>
        <w:widowControl w:val="0"/>
        <w:snapToGrid w:val="0"/>
        <w:spacing w:before="0" w:after="0" w:afterAutospacing="0"/>
        <w:ind w:left="0" w:right="0" w:firstLine="420" w:firstLineChars="200"/>
        <w:rPr>
          <w:rFonts w:ascii="宋体" w:hAnsi="宋体"/>
          <w:kern w:val="2"/>
          <w:szCs w:val="24"/>
          <w:highlight w:val="none"/>
        </w:rPr>
      </w:pPr>
      <w:r>
        <w:rPr>
          <w:rFonts w:hint="eastAsia" w:ascii="宋体" w:hAnsi="宋体"/>
          <w:kern w:val="2"/>
          <w:szCs w:val="24"/>
          <w:highlight w:val="none"/>
        </w:rPr>
        <w:t>（2）本合同服务期限发生变化的；</w:t>
      </w:r>
    </w:p>
    <w:p>
      <w:pPr>
        <w:widowControl w:val="0"/>
        <w:snapToGrid w:val="0"/>
        <w:spacing w:before="0" w:after="0" w:afterAutospacing="0"/>
        <w:ind w:left="0" w:right="0" w:firstLine="420" w:firstLineChars="200"/>
        <w:rPr>
          <w:rFonts w:ascii="宋体" w:hAnsi="宋体"/>
          <w:kern w:val="2"/>
          <w:szCs w:val="24"/>
          <w:highlight w:val="none"/>
        </w:rPr>
      </w:pPr>
      <w:r>
        <w:rPr>
          <w:rFonts w:hint="eastAsia" w:ascii="宋体" w:hAnsi="宋体"/>
          <w:kern w:val="2"/>
          <w:szCs w:val="24"/>
          <w:highlight w:val="none"/>
        </w:rPr>
        <w:t>（3）</w:t>
      </w:r>
      <w:r>
        <w:rPr>
          <w:rFonts w:ascii="宋体" w:hAnsi="宋体"/>
          <w:kern w:val="2"/>
          <w:szCs w:val="24"/>
          <w:highlight w:val="none"/>
        </w:rPr>
        <w:t>本合同约定的其他予以调整的情况</w:t>
      </w:r>
      <w:r>
        <w:rPr>
          <w:rFonts w:hint="eastAsia" w:ascii="宋体" w:hAnsi="宋体"/>
          <w:kern w:val="2"/>
          <w:szCs w:val="24"/>
          <w:highlight w:val="none"/>
        </w:rPr>
        <w:t>。</w:t>
      </w:r>
    </w:p>
    <w:p>
      <w:pPr>
        <w:widowControl w:val="0"/>
        <w:outlineLvl w:val="2"/>
        <w:rPr>
          <w:rFonts w:ascii="宋体" w:hAnsi="宋体" w:cs="宋体"/>
          <w:b/>
          <w:bCs/>
          <w:sz w:val="24"/>
          <w:szCs w:val="24"/>
          <w:highlight w:val="none"/>
        </w:rPr>
      </w:pPr>
      <w:r>
        <w:rPr>
          <w:rFonts w:hint="eastAsia" w:ascii="宋体" w:hAnsi="宋体"/>
          <w:b/>
          <w:bCs/>
          <w:sz w:val="24"/>
          <w:szCs w:val="24"/>
          <w:highlight w:val="none"/>
        </w:rPr>
        <w:t>9</w:t>
      </w:r>
      <w:r>
        <w:rPr>
          <w:rFonts w:hint="eastAsia" w:ascii="宋体" w:hAnsi="宋体" w:cs="宋体"/>
          <w:b/>
          <w:bCs/>
          <w:sz w:val="24"/>
          <w:szCs w:val="24"/>
          <w:highlight w:val="none"/>
        </w:rPr>
        <w:t>.项目验收</w:t>
      </w:r>
    </w:p>
    <w:p>
      <w:pPr>
        <w:snapToGrid w:val="0"/>
        <w:spacing w:before="0" w:after="0" w:afterAutospacing="0"/>
        <w:ind w:left="0" w:firstLine="420" w:firstLineChars="200"/>
        <w:jc w:val="left"/>
        <w:rPr>
          <w:rFonts w:ascii="宋体" w:hAnsi="宋体" w:cs="宋体"/>
          <w:highlight w:val="none"/>
        </w:rPr>
      </w:pPr>
      <w:r>
        <w:rPr>
          <w:rFonts w:hint="eastAsia" w:ascii="宋体" w:hAnsi="宋体" w:cs="宋体"/>
          <w:highlight w:val="none"/>
        </w:rPr>
        <w:t>9.1甲方通过现场监控或事后询问等多种方式对乙方培训进行监督，若发现乙方存在未按技术规格书要求执行或未及时组织人员培训、考试的，乙方须无条件进行整改，直至通过甲方验收为止。</w:t>
      </w:r>
    </w:p>
    <w:p>
      <w:pPr>
        <w:snapToGrid w:val="0"/>
        <w:spacing w:before="0" w:after="0" w:afterAutospacing="0"/>
        <w:ind w:left="0" w:firstLine="420" w:firstLineChars="200"/>
        <w:jc w:val="left"/>
        <w:rPr>
          <w:rFonts w:ascii="宋体" w:hAnsi="宋体" w:cs="宋体"/>
          <w:highlight w:val="none"/>
        </w:rPr>
      </w:pPr>
      <w:r>
        <w:rPr>
          <w:rFonts w:hint="eastAsia" w:ascii="宋体" w:hAnsi="宋体" w:cs="宋体"/>
          <w:highlight w:val="none"/>
        </w:rPr>
        <w:t>9.2为确保培训教学质量，在培训结束后，甲方按照培训人员取得国家认定的证书进行验收。</w:t>
      </w:r>
    </w:p>
    <w:p>
      <w:pPr>
        <w:widowControl w:val="0"/>
        <w:outlineLvl w:val="2"/>
        <w:rPr>
          <w:rFonts w:ascii="宋体" w:hAnsi="宋体" w:cs="宋体"/>
          <w:b/>
          <w:bCs/>
          <w:sz w:val="24"/>
          <w:szCs w:val="24"/>
          <w:highlight w:val="none"/>
        </w:rPr>
      </w:pPr>
      <w:bookmarkStart w:id="64" w:name="_Toc24369"/>
      <w:bookmarkStart w:id="65" w:name="_Toc9940"/>
      <w:bookmarkStart w:id="66" w:name="_Toc1724590"/>
      <w:r>
        <w:rPr>
          <w:rFonts w:hint="eastAsia" w:ascii="宋体" w:hAnsi="宋体" w:cs="宋体"/>
          <w:b/>
          <w:bCs/>
          <w:sz w:val="24"/>
          <w:szCs w:val="32"/>
          <w:highlight w:val="none"/>
        </w:rPr>
        <w:t>10</w:t>
      </w:r>
      <w:r>
        <w:rPr>
          <w:rFonts w:hint="eastAsia" w:ascii="宋体" w:hAnsi="宋体" w:cs="宋体"/>
          <w:b/>
          <w:bCs/>
          <w:sz w:val="24"/>
          <w:szCs w:val="24"/>
          <w:highlight w:val="none"/>
        </w:rPr>
        <w:t>.履约担保</w:t>
      </w:r>
      <w:bookmarkEnd w:id="64"/>
      <w:bookmarkEnd w:id="65"/>
      <w:bookmarkEnd w:id="66"/>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10.1在合同签订前，乙方应向甲方提供履约保证金，履约保证金的金额为中</w:t>
      </w:r>
      <w:r>
        <w:rPr>
          <w:rFonts w:hint="eastAsia" w:ascii="宋体" w:hAnsi="宋体" w:cs="宋体"/>
          <w:kern w:val="2"/>
          <w:highlight w:val="none"/>
          <w:lang w:val="en-US" w:eastAsia="zh-CN"/>
        </w:rPr>
        <w:t>选</w:t>
      </w:r>
      <w:r>
        <w:rPr>
          <w:rFonts w:hint="eastAsia" w:ascii="宋体" w:hAnsi="宋体" w:cs="宋体"/>
          <w:kern w:val="2"/>
          <w:highlight w:val="none"/>
        </w:rPr>
        <w:t>价格的2.5%，金额为</w:t>
      </w:r>
      <w:r>
        <w:rPr>
          <w:rFonts w:hint="eastAsia" w:ascii="宋体" w:hAnsi="宋体" w:cs="宋体"/>
          <w:kern w:val="2"/>
          <w:highlight w:val="none"/>
          <w:u w:val="single"/>
        </w:rPr>
        <w:t xml:space="preserve">          ，</w:t>
      </w:r>
      <w:r>
        <w:rPr>
          <w:rFonts w:hint="eastAsia" w:ascii="宋体" w:hAnsi="宋体" w:cs="宋体"/>
          <w:kern w:val="2"/>
          <w:highlight w:val="none"/>
        </w:rPr>
        <w:t>币种应为人民币。</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10.3 履约保证金应从生效之日起至服务期满后四十五（45）天一直有效。如本项目实际最终验收日期超出该履约担保写明的日期，则乙方应相应延长履约保证金的日期，当出现逾期验收而未及时办理保函续期手续时，延期超过30天的，以30天后开始计算，每天收取合同总价0.5‰的违约金，违约金额达到合同金额的2.5%，甲方有权暂停剩余费用的支付和解除合同。</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10.4乙方提交履约保证金所产生的费用由乙方承担。</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10.5如果在服务期内乙方不能履行其在合同项下的义务，则乙方应承担相应的违约责任，同时甲方有权用履约保证金的资金补偿其任何损失或有权通过银行保函追索，但其剩余的履约保证金仍应满足中</w:t>
      </w:r>
      <w:r>
        <w:rPr>
          <w:rFonts w:hint="eastAsia" w:ascii="宋体" w:hAnsi="宋体" w:cs="宋体"/>
          <w:kern w:val="2"/>
          <w:highlight w:val="none"/>
          <w:lang w:val="en-US" w:eastAsia="zh-CN"/>
        </w:rPr>
        <w:t>选</w:t>
      </w:r>
      <w:r>
        <w:rPr>
          <w:rFonts w:hint="eastAsia" w:ascii="宋体" w:hAnsi="宋体" w:cs="宋体"/>
          <w:kern w:val="2"/>
          <w:highlight w:val="none"/>
        </w:rPr>
        <w:t>价格2.5%，乙方应在期限内及时补足担保金额，每逾期一天，按照应补未补部分的万分之五向甲方支付违约金，甲方有权在进度款中扣减。</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10.6履约保证金在本合同服务期满后四十五（45）天后，根据履约期间甲方的索赔情况，将剩余履约保证金款项无息退还乙方。</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10.7若发生以下行为，甲方将不退还履约保证金：</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10.7.1在合同履行期间，乙方明确表示或者以自己的行为表明不履行主要义务的；</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10.7.2乙方迟延履行主要义务，经催告后在合理期限内仍未履行的；</w:t>
      </w:r>
    </w:p>
    <w:p>
      <w:pPr>
        <w:adjustRightInd w:val="0"/>
        <w:snapToGrid w:val="0"/>
        <w:spacing w:before="0" w:after="0" w:afterAutospacing="0"/>
        <w:ind w:left="0" w:right="0" w:firstLine="420" w:firstLineChars="200"/>
        <w:rPr>
          <w:rFonts w:ascii="宋体" w:hAnsi="宋体" w:cs="宋体"/>
          <w:kern w:val="2"/>
          <w:highlight w:val="none"/>
        </w:rPr>
      </w:pPr>
      <w:r>
        <w:rPr>
          <w:rFonts w:hint="eastAsia" w:ascii="宋体" w:hAnsi="宋体" w:cs="宋体"/>
          <w:kern w:val="2"/>
          <w:highlight w:val="none"/>
        </w:rPr>
        <w:t>10.7.3乙方履行的义务不符合合同约定，经甲方催告后未在合理期限内整改完毕的；</w:t>
      </w:r>
    </w:p>
    <w:p>
      <w:pPr>
        <w:snapToGrid w:val="0"/>
        <w:spacing w:before="0" w:after="0" w:afterAutospacing="0"/>
        <w:ind w:left="0" w:firstLine="420" w:firstLineChars="200"/>
        <w:jc w:val="left"/>
        <w:rPr>
          <w:rFonts w:ascii="宋体" w:hAnsi="宋体" w:cs="宋体"/>
          <w:kern w:val="2"/>
          <w:highlight w:val="none"/>
        </w:rPr>
      </w:pPr>
      <w:r>
        <w:rPr>
          <w:rFonts w:hint="eastAsia" w:ascii="宋体" w:hAnsi="宋体" w:cs="宋体"/>
          <w:kern w:val="2"/>
          <w:highlight w:val="none"/>
        </w:rPr>
        <w:t>10.7.4乙方其他违约行为导致合同解除或终止的。</w:t>
      </w:r>
    </w:p>
    <w:p>
      <w:pPr>
        <w:widowControl w:val="0"/>
        <w:outlineLvl w:val="2"/>
        <w:rPr>
          <w:rFonts w:ascii="宋体" w:hAnsi="宋体" w:cs="宋体"/>
          <w:b/>
          <w:bCs/>
          <w:sz w:val="24"/>
          <w:szCs w:val="24"/>
          <w:highlight w:val="none"/>
        </w:rPr>
      </w:pPr>
      <w:bookmarkStart w:id="67" w:name="_Toc14841"/>
      <w:bookmarkStart w:id="68" w:name="_Toc2597"/>
      <w:bookmarkStart w:id="69" w:name="_Toc12681"/>
      <w:bookmarkStart w:id="70" w:name="_Toc1724594"/>
      <w:r>
        <w:rPr>
          <w:rFonts w:hint="eastAsia" w:ascii="宋体" w:hAnsi="宋体" w:cs="宋体"/>
          <w:b/>
          <w:bCs/>
          <w:sz w:val="24"/>
          <w:szCs w:val="24"/>
          <w:highlight w:val="none"/>
        </w:rPr>
        <w:t>11.转包与分包</w:t>
      </w:r>
      <w:bookmarkEnd w:id="67"/>
      <w:bookmarkEnd w:id="68"/>
      <w:bookmarkEnd w:id="69"/>
      <w:bookmarkEnd w:id="70"/>
    </w:p>
    <w:p>
      <w:pPr>
        <w:widowControl w:val="0"/>
        <w:adjustRightInd w:val="0"/>
        <w:snapToGrid w:val="0"/>
        <w:spacing w:before="0" w:after="0" w:afterAutospacing="0"/>
        <w:ind w:left="0" w:right="0" w:firstLine="420" w:firstLineChars="200"/>
        <w:rPr>
          <w:rFonts w:ascii="宋体" w:hAnsi="宋体"/>
          <w:kern w:val="2"/>
          <w:highlight w:val="none"/>
        </w:rPr>
      </w:pPr>
      <w:bookmarkStart w:id="71" w:name="_Toc5659"/>
      <w:bookmarkStart w:id="72" w:name="_Toc1724595"/>
      <w:bookmarkStart w:id="73" w:name="_Toc26184"/>
      <w:r>
        <w:rPr>
          <w:rFonts w:hint="eastAsia" w:ascii="宋体" w:hAnsi="宋体"/>
          <w:kern w:val="2"/>
          <w:highlight w:val="none"/>
        </w:rPr>
        <w:t>11.1本项目不予转包。</w:t>
      </w:r>
    </w:p>
    <w:p>
      <w:pPr>
        <w:widowControl w:val="0"/>
        <w:adjustRightInd w:val="0"/>
        <w:snapToGrid w:val="0"/>
        <w:spacing w:before="0" w:after="0" w:afterAutospacing="0"/>
        <w:ind w:left="0" w:right="0" w:firstLine="420" w:firstLineChars="200"/>
        <w:rPr>
          <w:rFonts w:ascii="宋体" w:hAnsi="宋体"/>
          <w:kern w:val="2"/>
          <w:highlight w:val="none"/>
        </w:rPr>
      </w:pPr>
      <w:bookmarkStart w:id="74" w:name="_Toc297120460"/>
      <w:bookmarkStart w:id="75" w:name="_Toc296347159"/>
      <w:bookmarkStart w:id="76" w:name="_Toc292559870"/>
      <w:bookmarkStart w:id="77" w:name="_Toc296346661"/>
      <w:bookmarkStart w:id="78" w:name="_Toc297123493"/>
      <w:bookmarkStart w:id="79" w:name="_Toc303539103"/>
      <w:bookmarkStart w:id="80" w:name="_Toc304295524"/>
      <w:bookmarkStart w:id="81" w:name="_Toc296503160"/>
      <w:bookmarkStart w:id="82" w:name="_Toc292559365"/>
      <w:bookmarkStart w:id="83" w:name="_Toc297048346"/>
      <w:bookmarkStart w:id="84" w:name="_Toc296891200"/>
      <w:bookmarkStart w:id="85" w:name="_Toc312677989"/>
      <w:bookmarkStart w:id="86" w:name="_Toc296890988"/>
      <w:bookmarkStart w:id="87" w:name="_Toc297216152"/>
      <w:bookmarkStart w:id="88" w:name="_Toc318581158"/>
      <w:bookmarkStart w:id="89" w:name="_Toc300934946"/>
      <w:bookmarkStart w:id="90" w:name="_Toc296944499"/>
      <w:r>
        <w:rPr>
          <w:rFonts w:hint="eastAsia" w:ascii="宋体" w:hAnsi="宋体"/>
          <w:kern w:val="2"/>
          <w:highlight w:val="none"/>
        </w:rPr>
        <w:t>11.2分包的一般约定：</w:t>
      </w:r>
    </w:p>
    <w:p>
      <w:pPr>
        <w:widowControl w:val="0"/>
        <w:adjustRightInd w:val="0"/>
        <w:snapToGrid w:val="0"/>
        <w:spacing w:before="0" w:after="0" w:afterAutospacing="0"/>
        <w:ind w:left="0" w:right="0" w:firstLine="420" w:firstLineChars="300"/>
        <w:rPr>
          <w:rFonts w:ascii="宋体" w:hAnsi="宋体"/>
          <w:kern w:val="2"/>
          <w:highlight w:val="none"/>
        </w:rPr>
      </w:pPr>
      <w:r>
        <w:rPr>
          <w:rFonts w:hint="eastAsia" w:ascii="Arial" w:hAnsi="Arial" w:cs="Arial"/>
          <w:color w:val="333333"/>
          <w:sz w:val="14"/>
          <w:szCs w:val="14"/>
          <w:highlight w:val="none"/>
          <w:shd w:val="clear" w:color="auto" w:fill="FFFFFF"/>
        </w:rPr>
        <w:t>☑</w:t>
      </w:r>
      <w:r>
        <w:rPr>
          <w:rFonts w:hint="eastAsia" w:ascii="宋体" w:hAnsi="宋体"/>
          <w:kern w:val="2"/>
          <w:highlight w:val="none"/>
        </w:rPr>
        <w:t xml:space="preserve">不允许分包                                                           </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Pr>
        <w:widowControl w:val="0"/>
        <w:outlineLvl w:val="2"/>
        <w:rPr>
          <w:rFonts w:ascii="宋体" w:hAnsi="宋体"/>
          <w:b/>
          <w:bCs/>
          <w:sz w:val="24"/>
          <w:szCs w:val="24"/>
          <w:highlight w:val="none"/>
        </w:rPr>
      </w:pPr>
      <w:r>
        <w:rPr>
          <w:rFonts w:hint="eastAsia" w:ascii="宋体" w:hAnsi="宋体"/>
          <w:b/>
          <w:bCs/>
          <w:sz w:val="24"/>
          <w:szCs w:val="24"/>
          <w:highlight w:val="none"/>
        </w:rPr>
        <w:t>12</w:t>
      </w:r>
      <w:r>
        <w:rPr>
          <w:rFonts w:hint="eastAsia" w:ascii="宋体" w:hAnsi="宋体" w:cs="宋体"/>
          <w:b/>
          <w:bCs/>
          <w:sz w:val="24"/>
          <w:szCs w:val="24"/>
          <w:highlight w:val="none"/>
        </w:rPr>
        <w:t>.</w:t>
      </w:r>
      <w:r>
        <w:rPr>
          <w:rFonts w:hint="eastAsia" w:ascii="宋体" w:hAnsi="宋体"/>
          <w:b/>
          <w:bCs/>
          <w:sz w:val="24"/>
          <w:szCs w:val="24"/>
          <w:highlight w:val="none"/>
        </w:rPr>
        <w:t>转让</w:t>
      </w:r>
    </w:p>
    <w:p>
      <w:pPr>
        <w:widowControl w:val="0"/>
        <w:autoSpaceDE w:val="0"/>
        <w:autoSpaceDN w:val="0"/>
        <w:adjustRightInd w:val="0"/>
        <w:snapToGrid w:val="0"/>
        <w:ind w:left="0" w:right="29" w:firstLine="420" w:firstLineChars="200"/>
        <w:jc w:val="left"/>
        <w:rPr>
          <w:rFonts w:ascii="宋体" w:hAnsi="宋体"/>
          <w:highlight w:val="none"/>
        </w:rPr>
      </w:pPr>
      <w:r>
        <w:rPr>
          <w:rFonts w:hint="eastAsia" w:ascii="宋体" w:hAnsi="宋体"/>
          <w:highlight w:val="none"/>
        </w:rPr>
        <w:t>除甲方书面同意，乙方不得将合同权利及义务全部或部分转让给第三方。</w:t>
      </w:r>
    </w:p>
    <w:p>
      <w:pPr>
        <w:widowControl w:val="0"/>
        <w:outlineLvl w:val="2"/>
        <w:rPr>
          <w:rFonts w:ascii="宋体" w:hAnsi="宋体"/>
          <w:b/>
          <w:bCs/>
          <w:sz w:val="24"/>
          <w:szCs w:val="24"/>
          <w:highlight w:val="none"/>
        </w:rPr>
      </w:pPr>
      <w:r>
        <w:rPr>
          <w:rFonts w:hint="eastAsia" w:ascii="宋体" w:hAnsi="宋体"/>
          <w:b/>
          <w:bCs/>
          <w:sz w:val="24"/>
          <w:szCs w:val="24"/>
          <w:highlight w:val="none"/>
        </w:rPr>
        <w:t>13</w:t>
      </w:r>
      <w:r>
        <w:rPr>
          <w:rFonts w:hint="eastAsia" w:ascii="宋体" w:hAnsi="宋体" w:cs="宋体"/>
          <w:b/>
          <w:bCs/>
          <w:sz w:val="24"/>
          <w:szCs w:val="24"/>
          <w:highlight w:val="none"/>
        </w:rPr>
        <w:t>.</w:t>
      </w:r>
      <w:r>
        <w:rPr>
          <w:rFonts w:hint="eastAsia" w:ascii="宋体" w:hAnsi="宋体"/>
          <w:b/>
          <w:bCs/>
          <w:sz w:val="24"/>
          <w:szCs w:val="24"/>
          <w:highlight w:val="none"/>
        </w:rPr>
        <w:t>中止</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13.1如乙方具有以下情形的，甲方可以中止合同履行: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(1)经营状况严重恶化；</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(2)转移财产、抽逃资金以逃避债务；</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(3)丧失商业信誉；</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(4)有丧失或者可能丧失履行债务能力的其他情形；</w:t>
      </w:r>
    </w:p>
    <w:p>
      <w:pPr>
        <w:widowControl w:val="0"/>
        <w:adjustRightInd w:val="0"/>
        <w:snapToGrid w:val="0"/>
        <w:spacing w:before="0" w:after="0" w:afterAutospacing="0"/>
        <w:ind w:left="0" w:right="0" w:firstLine="420" w:firstLineChars="200"/>
        <w:rPr>
          <w:rFonts w:ascii="宋体" w:hAnsi="宋体"/>
          <w:highlight w:val="none"/>
        </w:rPr>
      </w:pPr>
      <w:r>
        <w:rPr>
          <w:rFonts w:hint="eastAsia" w:ascii="宋体" w:hAnsi="宋体"/>
          <w:kern w:val="2"/>
          <w:highlight w:val="none"/>
        </w:rPr>
        <w:t>13.2 甲方依据12.1条中止合同履行的，应当及时书面通知乙方。乙方提供适当担保的，合同恢复履行。中止履行后，乙方在合理期限内未恢复履行能且未提供适当担保的，视为以自己的行为表明不履行主要债务,甲方可以解除合同并追究乙方的违约责任。</w:t>
      </w:r>
    </w:p>
    <w:p>
      <w:pPr>
        <w:widowControl w:val="0"/>
        <w:snapToGrid w:val="0"/>
        <w:outlineLvl w:val="2"/>
        <w:rPr>
          <w:b/>
          <w:bCs/>
          <w:sz w:val="24"/>
          <w:szCs w:val="24"/>
          <w:highlight w:val="none"/>
        </w:rPr>
      </w:pPr>
      <w:bookmarkStart w:id="91" w:name="_Toc27055"/>
      <w:bookmarkStart w:id="92" w:name="_Toc30221"/>
      <w:bookmarkStart w:id="93" w:name="_Toc1724596"/>
      <w:bookmarkStart w:id="94" w:name="_Toc31160"/>
      <w:r>
        <w:rPr>
          <w:rFonts w:ascii="宋体" w:hAnsi="宋体"/>
          <w:b/>
          <w:bCs/>
          <w:sz w:val="24"/>
          <w:szCs w:val="24"/>
          <w:highlight w:val="none"/>
        </w:rPr>
        <w:t>1</w:t>
      </w:r>
      <w:r>
        <w:rPr>
          <w:rFonts w:hint="eastAsia" w:ascii="宋体" w:hAnsi="宋体"/>
          <w:b/>
          <w:bCs/>
          <w:sz w:val="24"/>
          <w:szCs w:val="24"/>
          <w:highlight w:val="none"/>
        </w:rPr>
        <w:t>4</w:t>
      </w:r>
      <w:r>
        <w:rPr>
          <w:rFonts w:ascii="宋体" w:hAnsi="宋体"/>
          <w:b/>
          <w:bCs/>
          <w:sz w:val="24"/>
          <w:szCs w:val="24"/>
          <w:highlight w:val="none"/>
        </w:rPr>
        <w:t>.合</w:t>
      </w:r>
      <w:r>
        <w:rPr>
          <w:b/>
          <w:bCs/>
          <w:sz w:val="24"/>
          <w:szCs w:val="24"/>
          <w:highlight w:val="none"/>
        </w:rPr>
        <w:t>同解除和终止</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14.1对合同条件所做出的任何修改、补充，须经双方协商达成一致意见后，签订书面协议。</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14.2合同自然终止</w:t>
      </w:r>
    </w:p>
    <w:p>
      <w:pPr>
        <w:widowControl w:val="0"/>
        <w:numPr>
          <w:ilvl w:val="0"/>
          <w:numId w:val="2"/>
        </w:numPr>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甲方、乙方双方各自完成合同规定的责任和义务，合同自然终止。</w:t>
      </w:r>
    </w:p>
    <w:p>
      <w:pPr>
        <w:widowControl w:val="0"/>
        <w:numPr>
          <w:ilvl w:val="0"/>
          <w:numId w:val="2"/>
        </w:numPr>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服务期满，合同终止。</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14.3 因乙方违约违规终止合同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14.3.1合同成立后，若乙方不按合同履行职责导致对甲方安全运营、名誉、形象等造成影响，甲方有权终止合同。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14.3.2按照违约责任条款或技术规格书中甲方有权解除（终止）合同的情形。</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14.3.3如果甲方发现以下违约情形之一后可向乙方发出书面违约通知书，提出终止部分或全部合同，自发出书面违约通知之日起发生的费用由乙方自行负责，若给甲方造成损失的，乙方还应负责赔偿：</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 xml:space="preserve">（1）乙方不具备继续按合同要求开展培训的条件或培训未能按照合同规定的方式进行的； </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（2）如果甲方认为乙方在本合同的竞争和实施过程中有腐败和欺诈行为的。</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“腐败行为”是指提供、给予、接受或索取任何有价值的东西来影响有关人员在定标过程或合同实施过程中的行为；</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欺诈行为”是指为了影响定标过程或合同实施过程而谎报事实，损害甲方的利益，包括乙方之间串通投标（递交投标书之前和之后），人为地使各投标价丧失竞争性，剥夺甲方从自由公开竞争所获得的权益。欺诈行为还包括乙方擅自改变合同所要求的材料。</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（3）乙方资质证明文件在合同期内到期（或失效），未能按规定取得合法有效符合本项目要求的企业资质的（不可抗力因素导致的除外）；</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4）乙方参与本项目工作人员未与乙方签订正式劳动（劳务）合同或未按时足额支付本项目员工工资的，或者乙方未按国家、省（自治区）、市相关政策为所聘用参与本项目主要人员购买社会保险的，造成甲方经济、声誉损失的。</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（5）在合同有效期内，如发现乙方擅自转包或挂靠，或提供虚假资料的。</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（6）因乙方破产而终止合同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1）如果乙方破产或无清偿能力，甲方可在任何时候以书面形式通知乙方，提出终止合同而不给乙方补偿。该终止合同将不损害或影响甲方已经采取或将要采取的任何行动或补救措施的权利。</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 xml:space="preserve"> 2）乙方有责任而且必须支付甲方超过合同金额的合理的必须的费用。该费用是甲方为了执行完成被终止了的该部分而实际发生的直接费用。</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14.4根据14.3规定合同终止后，甲方没收乙方履约保证金并不再支付任何费用。</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14.5因甲方违约终止合同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14.5.1甲方严重违背合同规定的责任义务而且这种违约没有任何条款允许时，则乙方有权终止合同中的一部分或全部，但前提条件是乙方应在终止合同前三个月书面通知甲方，而甲方未能在这个期限内采取合理的措施以弥补其违约。</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14.5.2乙方有权要求甲方补偿其因违约而造成的任何直接损失。因涉及社会公共安全，在甲方采取有效弥补措施前，乙方不可以中止合同的履行。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14.6因不可抗力终止合同</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如果不可抗力事件的影响已达120天或双方预计不可抗力事件的影响将延续120天以上（含本数）时，任何一方有权终止本合同。</w:t>
      </w:r>
    </w:p>
    <w:p>
      <w:pPr>
        <w:widowControl w:val="0"/>
        <w:adjustRightInd w:val="0"/>
        <w:snapToGrid w:val="0"/>
        <w:spacing w:before="0" w:after="0" w:afterAutospacing="0"/>
        <w:ind w:left="0" w:right="0" w:firstLine="420" w:firstLineChars="200"/>
        <w:rPr>
          <w:rFonts w:ascii="宋体" w:hAnsi="宋体"/>
          <w:kern w:val="2"/>
          <w:highlight w:val="none"/>
        </w:rPr>
      </w:pPr>
      <w:r>
        <w:rPr>
          <w:rFonts w:ascii="宋体" w:hAnsi="宋体"/>
          <w:kern w:val="2"/>
          <w:highlight w:val="none"/>
        </w:rPr>
        <w:t>如因不可抗力提出终止合同，双方均不因此构成违约，双方应合同终止日期以前协商解决双方应得的利益问题。合同终止后双方应在21个工作日内退还对方剩余履约担保</w:t>
      </w:r>
      <w:r>
        <w:rPr>
          <w:rFonts w:hint="eastAsia" w:ascii="宋体" w:hAnsi="宋体"/>
          <w:kern w:val="2"/>
          <w:highlight w:val="none"/>
        </w:rPr>
        <w:t>。</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14.7在合同有效期内乙方无任何法定或合同约定的理由单方提出终止合同的，应承担违约责任，甲方有权没收履约保证金作为违约金。。</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14.8合同非自然终止后，甲方可寻找合同外第三方完成本合同项目，在过渡期间（不少于6个月）乙方应配合甲方工作。</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14.9出现因乙方违约终止合同的，将乙方列入甲方的</w:t>
      </w:r>
      <w:r>
        <w:rPr>
          <w:rFonts w:hint="eastAsia"/>
          <w:highlight w:val="none"/>
        </w:rPr>
        <w:t>不良信用名单</w:t>
      </w:r>
      <w:r>
        <w:rPr>
          <w:rFonts w:hint="eastAsia" w:ascii="宋体" w:hAnsi="宋体"/>
          <w:kern w:val="2"/>
          <w:highlight w:val="none"/>
        </w:rPr>
        <w:t>。</w:t>
      </w:r>
      <w:bookmarkEnd w:id="91"/>
      <w:bookmarkEnd w:id="92"/>
      <w:bookmarkEnd w:id="93"/>
      <w:bookmarkEnd w:id="94"/>
    </w:p>
    <w:p>
      <w:pPr>
        <w:widowControl w:val="0"/>
        <w:spacing w:after="120" w:afterAutospacing="0"/>
        <w:ind w:left="0" w:right="0" w:firstLine="0"/>
        <w:outlineLvl w:val="2"/>
        <w:rPr>
          <w:rFonts w:ascii="宋体" w:hAnsi="宋体"/>
          <w:b/>
          <w:bCs/>
          <w:sz w:val="24"/>
          <w:szCs w:val="24"/>
          <w:highlight w:val="none"/>
        </w:rPr>
      </w:pPr>
      <w:bookmarkStart w:id="95" w:name="_Toc846"/>
      <w:bookmarkStart w:id="96" w:name="_Toc1724597"/>
      <w:bookmarkStart w:id="97" w:name="_Toc31994"/>
      <w:bookmarkStart w:id="98" w:name="_Toc16556"/>
      <w:bookmarkStart w:id="99" w:name="_Toc482008348"/>
      <w:bookmarkStart w:id="100" w:name="_Toc486842412"/>
      <w:r>
        <w:rPr>
          <w:rFonts w:hint="eastAsia" w:ascii="宋体" w:hAnsi="宋体"/>
          <w:b/>
          <w:bCs/>
          <w:sz w:val="24"/>
          <w:szCs w:val="24"/>
          <w:highlight w:val="none"/>
        </w:rPr>
        <w:t>15.不可抗力</w:t>
      </w:r>
      <w:bookmarkEnd w:id="95"/>
      <w:bookmarkEnd w:id="96"/>
      <w:bookmarkEnd w:id="97"/>
      <w:bookmarkEnd w:id="98"/>
      <w:bookmarkEnd w:id="99"/>
      <w:bookmarkEnd w:id="100"/>
    </w:p>
    <w:p>
      <w:pPr>
        <w:widowControl w:val="0"/>
        <w:adjustRightInd w:val="0"/>
        <w:snapToGrid w:val="0"/>
        <w:spacing w:before="0" w:after="0" w:afterAutospacing="0"/>
        <w:ind w:left="0" w:right="0" w:firstLine="420" w:firstLineChars="200"/>
        <w:rPr>
          <w:rFonts w:ascii="宋体" w:hAnsi="宋体"/>
          <w:kern w:val="2"/>
          <w:highlight w:val="none"/>
        </w:rPr>
      </w:pPr>
      <w:bookmarkStart w:id="101" w:name="_Toc351203608"/>
      <w:bookmarkStart w:id="102" w:name="_Toc296346618"/>
      <w:bookmarkStart w:id="103" w:name="_Toc296503117"/>
      <w:bookmarkStart w:id="104" w:name="_Toc337558824"/>
      <w:r>
        <w:rPr>
          <w:rFonts w:ascii="宋体" w:hAnsi="宋体"/>
          <w:kern w:val="2"/>
          <w:highlight w:val="none"/>
        </w:rPr>
        <w:t>1</w:t>
      </w:r>
      <w:r>
        <w:rPr>
          <w:rFonts w:hint="eastAsia" w:ascii="宋体" w:hAnsi="宋体"/>
          <w:kern w:val="2"/>
          <w:highlight w:val="none"/>
        </w:rPr>
        <w:t>5</w:t>
      </w:r>
      <w:r>
        <w:rPr>
          <w:rFonts w:ascii="宋体" w:hAnsi="宋体"/>
          <w:kern w:val="2"/>
          <w:highlight w:val="none"/>
        </w:rPr>
        <w:t xml:space="preserve">.1 </w:t>
      </w:r>
      <w:r>
        <w:rPr>
          <w:rFonts w:hint="eastAsia" w:ascii="宋体" w:hAnsi="宋体"/>
          <w:kern w:val="2"/>
          <w:highlight w:val="none"/>
        </w:rPr>
        <w:t>不可抗力的确认</w:t>
      </w:r>
      <w:bookmarkEnd w:id="101"/>
    </w:p>
    <w:bookmarkEnd w:id="102"/>
    <w:bookmarkEnd w:id="103"/>
    <w:bookmarkEnd w:id="104"/>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不可抗力发生后，甲方和乙方应收集证明不可抗力发生及不可抗力造成损失的证据，并及时认真统计所造成的损失。甲乙双方对是否属于不可抗力或其损失发生争议时，按第</w:t>
      </w:r>
      <w:r>
        <w:rPr>
          <w:rFonts w:hint="eastAsia" w:ascii="宋体" w:hAnsi="宋体"/>
          <w:kern w:val="2"/>
          <w:highlight w:val="none"/>
          <w:lang w:val="en-US" w:eastAsia="zh-CN"/>
        </w:rPr>
        <w:t>20</w:t>
      </w:r>
      <w:r>
        <w:rPr>
          <w:rFonts w:hint="eastAsia" w:ascii="宋体" w:hAnsi="宋体"/>
          <w:kern w:val="2"/>
          <w:highlight w:val="none"/>
        </w:rPr>
        <w:t>条〔争议解决方式〕的约定处理。</w:t>
      </w:r>
    </w:p>
    <w:p>
      <w:pPr>
        <w:widowControl w:val="0"/>
        <w:adjustRightInd w:val="0"/>
        <w:snapToGrid w:val="0"/>
        <w:spacing w:before="0" w:after="0" w:afterAutospacing="0"/>
        <w:ind w:left="0" w:right="0" w:firstLine="420" w:firstLineChars="200"/>
        <w:rPr>
          <w:rFonts w:ascii="宋体" w:hAnsi="宋体"/>
          <w:kern w:val="2"/>
          <w:highlight w:val="none"/>
        </w:rPr>
      </w:pPr>
      <w:bookmarkStart w:id="105" w:name="_Toc351203609"/>
      <w:bookmarkStart w:id="106" w:name="_Toc296503118"/>
      <w:bookmarkStart w:id="107" w:name="_Toc337558825"/>
      <w:bookmarkStart w:id="108" w:name="_Toc296346619"/>
      <w:r>
        <w:rPr>
          <w:rFonts w:ascii="宋体" w:hAnsi="宋体"/>
          <w:kern w:val="2"/>
          <w:highlight w:val="none"/>
        </w:rPr>
        <w:t>1</w:t>
      </w:r>
      <w:r>
        <w:rPr>
          <w:rFonts w:hint="eastAsia" w:ascii="宋体" w:hAnsi="宋体"/>
          <w:kern w:val="2"/>
          <w:highlight w:val="none"/>
        </w:rPr>
        <w:t>5</w:t>
      </w:r>
      <w:r>
        <w:rPr>
          <w:rFonts w:ascii="宋体" w:hAnsi="宋体"/>
          <w:kern w:val="2"/>
          <w:highlight w:val="none"/>
        </w:rPr>
        <w:t xml:space="preserve">.2 </w:t>
      </w:r>
      <w:r>
        <w:rPr>
          <w:rFonts w:hint="eastAsia" w:ascii="宋体" w:hAnsi="宋体"/>
          <w:kern w:val="2"/>
          <w:highlight w:val="none"/>
        </w:rPr>
        <w:t>不可抗力的通知</w:t>
      </w:r>
      <w:bookmarkEnd w:id="105"/>
    </w:p>
    <w:bookmarkEnd w:id="106"/>
    <w:bookmarkEnd w:id="107"/>
    <w:bookmarkEnd w:id="108"/>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合同一方当事人遇到不可抗力事件，使其履行合同义务受到阻碍时，应立即通知合同另一方当事人，书面说明不可抗力和受阻碍的详细情况，并在合理期限内提供必要的证明。</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不可抗力持续发生的，合同一方当事人应及时向合同另一方当事人提交中间报告，说明不可抗力和履行合同受阻的情况，并于不可抗力事件结束后</w:t>
      </w:r>
      <w:r>
        <w:rPr>
          <w:rFonts w:ascii="宋体" w:hAnsi="宋体"/>
          <w:kern w:val="2"/>
          <w:highlight w:val="none"/>
        </w:rPr>
        <w:t>28</w:t>
      </w:r>
      <w:r>
        <w:rPr>
          <w:rFonts w:hint="eastAsia" w:ascii="宋体" w:hAnsi="宋体"/>
          <w:kern w:val="2"/>
          <w:highlight w:val="none"/>
        </w:rPr>
        <w:t>天内提交最终报告及有关资料。</w:t>
      </w:r>
    </w:p>
    <w:p>
      <w:pPr>
        <w:widowControl w:val="0"/>
        <w:adjustRightInd w:val="0"/>
        <w:snapToGrid w:val="0"/>
        <w:spacing w:before="0" w:after="0" w:afterAutospacing="0"/>
        <w:ind w:left="0" w:right="0" w:firstLine="420" w:firstLineChars="200"/>
        <w:rPr>
          <w:rFonts w:ascii="宋体" w:hAnsi="宋体"/>
          <w:kern w:val="2"/>
          <w:highlight w:val="none"/>
        </w:rPr>
      </w:pPr>
      <w:bookmarkStart w:id="109" w:name="_Toc351203610"/>
      <w:bookmarkStart w:id="110" w:name="_Toc296503119"/>
      <w:bookmarkStart w:id="111" w:name="_Toc296346620"/>
      <w:bookmarkStart w:id="112" w:name="_Toc337558826"/>
      <w:r>
        <w:rPr>
          <w:rFonts w:ascii="宋体" w:hAnsi="宋体"/>
          <w:kern w:val="2"/>
          <w:highlight w:val="none"/>
        </w:rPr>
        <w:t>1</w:t>
      </w:r>
      <w:r>
        <w:rPr>
          <w:rFonts w:hint="eastAsia" w:ascii="宋体" w:hAnsi="宋体"/>
          <w:kern w:val="2"/>
          <w:highlight w:val="none"/>
        </w:rPr>
        <w:t>5</w:t>
      </w:r>
      <w:r>
        <w:rPr>
          <w:rFonts w:ascii="宋体" w:hAnsi="宋体"/>
          <w:kern w:val="2"/>
          <w:highlight w:val="none"/>
        </w:rPr>
        <w:t xml:space="preserve">.3 </w:t>
      </w:r>
      <w:r>
        <w:rPr>
          <w:rFonts w:hint="eastAsia" w:ascii="宋体" w:hAnsi="宋体"/>
          <w:kern w:val="2"/>
          <w:highlight w:val="none"/>
        </w:rPr>
        <w:t>不可抗力后果的承担</w:t>
      </w:r>
      <w:bookmarkEnd w:id="109"/>
    </w:p>
    <w:bookmarkEnd w:id="110"/>
    <w:bookmarkEnd w:id="111"/>
    <w:bookmarkEnd w:id="112"/>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不可抗力引起的后果及造成的损失由合同当事人按照法律规定及合同约定各自承担。不可抗力发生前已完成的项目内容应当按照合同约定进行支付。</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不可抗力发生后，合同当事人均应采取措施尽量避免和减少损失的扩大，任何一方当事人没有采取有效措施导致损失扩大的，应对扩大的损失承担责任。</w:t>
      </w:r>
    </w:p>
    <w:p>
      <w:pPr>
        <w:widowControl w:val="0"/>
        <w:adjustRightInd w:val="0"/>
        <w:snapToGrid w:val="0"/>
        <w:spacing w:before="0" w:after="0" w:afterAutospacing="0"/>
        <w:ind w:left="0" w:right="0" w:firstLine="420" w:firstLineChars="200"/>
        <w:rPr>
          <w:rFonts w:ascii="宋体" w:hAnsi="宋体"/>
          <w:kern w:val="2"/>
          <w:highlight w:val="none"/>
        </w:rPr>
      </w:pPr>
      <w:r>
        <w:rPr>
          <w:rFonts w:hint="eastAsia" w:ascii="宋体" w:hAnsi="宋体"/>
          <w:kern w:val="2"/>
          <w:highlight w:val="none"/>
        </w:rPr>
        <w:t>因合同一方迟延履行合同义务，在迟延履行期间遭遇不可抗力的，不免除其违约责任。</w:t>
      </w:r>
    </w:p>
    <w:p>
      <w:pPr>
        <w:widowControl w:val="0"/>
        <w:spacing w:after="120" w:afterAutospacing="0"/>
        <w:ind w:left="0" w:right="0" w:firstLine="0"/>
        <w:outlineLvl w:val="2"/>
        <w:rPr>
          <w:rFonts w:ascii="宋体" w:hAnsi="宋体"/>
          <w:b/>
          <w:bCs/>
          <w:sz w:val="24"/>
          <w:szCs w:val="24"/>
          <w:highlight w:val="none"/>
        </w:rPr>
      </w:pPr>
      <w:bookmarkStart w:id="113" w:name="_Toc482008349"/>
      <w:bookmarkStart w:id="114" w:name="_Toc10047"/>
      <w:bookmarkStart w:id="115" w:name="_Toc1845"/>
      <w:bookmarkStart w:id="116" w:name="_Toc1724598"/>
      <w:bookmarkStart w:id="117" w:name="_Toc486842413"/>
      <w:bookmarkStart w:id="118" w:name="_Toc10374"/>
      <w:r>
        <w:rPr>
          <w:rFonts w:hint="eastAsia" w:ascii="宋体" w:hAnsi="宋体"/>
          <w:b/>
          <w:bCs/>
          <w:sz w:val="24"/>
          <w:szCs w:val="24"/>
          <w:highlight w:val="none"/>
        </w:rPr>
        <w:t>16.违约责任</w:t>
      </w:r>
      <w:bookmarkEnd w:id="113"/>
      <w:bookmarkEnd w:id="114"/>
      <w:bookmarkEnd w:id="115"/>
      <w:bookmarkEnd w:id="116"/>
      <w:bookmarkEnd w:id="117"/>
      <w:bookmarkEnd w:id="118"/>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16.1.本合同正式签订生效后，任何一方不履行或不完全履行本合同约定条款的，即构成违约。任何一方违约不履行本合同，违约方应向守约方支付由于违约造成的一切损失。</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16.2.如乙方不能按照本合同约定履行义务的，甲方有权直接解除合同，剩余合同费用不予支付。给甲方造成其他损失的，乙方还应进行赔偿。</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16.3. 乙方未能按工作计划及甲方批准的实施方案履行义务的，每迟延一天，甲方有权扣除合同总价万分之四的违约金；逾期达到30天的，甲方有权解除合同且不支付乙方服务费用。</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16.4.因乙方原因导致知识产权或专利纠纷，从而导致甲方不能正常使用乙方提供的服务的，因此给甲方造成损失的，由乙方承担全部赔偿责任。</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16.5.乙方必须按照投标文件中承诺的拟投入人员履约，乙方若更换人员必须经甲方同意。</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16.6甲、乙任何一方违反本协议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16.7乙方原则上需每月组织开班（包括新取证和复审），且自收到甲方开班需求（名单）之日起，至完成广西安全生产培训考核发证管理系统报名，最迟不能超过2个月。如有超过2个月的情况，每发生一次，乙方须向甲方支付违约金2000元。</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rPr>
        <w:t>16.8取证培训周期6个月：乙方原则上需每月组织开班（包括新取证和复审），自收到甲方报名需求起，需15天内完成广西安全生产培训考核发证管理系统的报名工作。新取证报名的，自系统报名成功之日起，需3个月内完成相关技能实操培训及考试工作；如需进行第二次重新报考的，需6个月内完成相关技能实操培训及考试工作，学员缺考及春节期间考试中心停考除外。6个月的取证培训周期的核算：从广西安全生产培训考核发证管理系统的报名成功日至第二次重新报名考试（含理论和实操）完成。</w:t>
      </w:r>
    </w:p>
    <w:p>
      <w:pPr>
        <w:tabs>
          <w:tab w:val="left" w:pos="1134"/>
          <w:tab w:val="left" w:pos="8364"/>
        </w:tabs>
        <w:spacing w:before="0" w:after="0" w:afterAutospacing="0"/>
        <w:ind w:left="0" w:right="0" w:firstLine="420" w:firstLineChars="200"/>
        <w:rPr>
          <w:highlight w:val="none"/>
        </w:rPr>
      </w:pPr>
      <w:r>
        <w:rPr>
          <w:rFonts w:hint="eastAsia" w:ascii="宋体" w:hAnsi="宋体" w:cs="Arial"/>
          <w:highlight w:val="none"/>
        </w:rPr>
        <w:t>16.9乙方在取证培训周期6个月内完成培训服务且学员取得特种作业证，按合同单价的100%据实结算；乙方超出取证培训周期6个月内完成培训服务且学员取得特种作业证，</w:t>
      </w:r>
      <w:r>
        <w:rPr>
          <w:rFonts w:hint="eastAsia" w:ascii="宋体" w:hAnsi="宋体" w:cs="Arial"/>
          <w:b/>
          <w:bCs/>
        </w:rPr>
        <w:t>按</w:t>
      </w:r>
      <w:r>
        <w:rPr>
          <w:rFonts w:hint="eastAsia" w:ascii="宋体" w:hAnsi="宋体" w:cs="Arial"/>
          <w:b/>
          <w:bCs/>
          <w:highlight w:val="green"/>
        </w:rPr>
        <w:t>具体培训项目取证数量乘固定综合单价的30%据实扣除乙方的违约金</w:t>
      </w:r>
      <w:r>
        <w:rPr>
          <w:rFonts w:hint="eastAsia" w:ascii="宋体" w:hAnsi="宋体" w:cs="Arial"/>
          <w:b/>
          <w:bCs/>
          <w:highlight w:val="none"/>
        </w:rPr>
        <w:t>。</w:t>
      </w:r>
    </w:p>
    <w:p>
      <w:pPr>
        <w:widowControl w:val="0"/>
        <w:snapToGrid w:val="0"/>
        <w:spacing w:before="0" w:after="0" w:afterAutospacing="0"/>
        <w:ind w:left="0" w:right="0" w:firstLine="0"/>
        <w:outlineLvl w:val="2"/>
        <w:rPr>
          <w:rFonts w:ascii="宋体" w:hAnsi="宋体"/>
          <w:b/>
          <w:bCs/>
          <w:sz w:val="24"/>
          <w:szCs w:val="24"/>
          <w:highlight w:val="none"/>
        </w:rPr>
      </w:pPr>
      <w:bookmarkStart w:id="119" w:name="_Toc30695"/>
      <w:bookmarkStart w:id="120" w:name="_Toc482008351"/>
      <w:bookmarkStart w:id="121" w:name="_Toc486842415"/>
      <w:bookmarkStart w:id="122" w:name="_Toc1724600"/>
      <w:bookmarkStart w:id="123" w:name="_Toc29651"/>
      <w:r>
        <w:rPr>
          <w:rFonts w:hint="eastAsia" w:ascii="宋体" w:hAnsi="宋体"/>
          <w:b/>
          <w:bCs/>
          <w:sz w:val="24"/>
          <w:szCs w:val="24"/>
          <w:highlight w:val="none"/>
        </w:rPr>
        <w:t>17.通知与送达</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17.1所有根据本合同作出的通知或者报告（包括违约处罚等）应以书面形式作出，并以以下任一方式送达对方，收到的一方应在5个工作日内予以回复，否则视为认同通知的内容。本合同任何一方为了本合同目的可以书面通知对方变更联系地址。任何一方的联系方式发生变更的，应当在变更之日起5个工作日内通知对方，否则对方按照原联系方式发出的通知视为有效送达。</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17.2送达时间基准为：（1）直接送达以签收人签收时间为准；（2）留置送达以通知或者报告（包括违约处罚等）送达指定地点时间为准（如出现拒签情况，以通知或者报告（包括违约处罚等）送达指定地点时派送人现场照片或物流信息显示送达时间为准）；（3）电子送达以发送人发出通知或者报告（包括违约处罚等）时间为准。（4）邮寄送达以邮寄至另一方在本合同签署页规定的地址或者另一方书面指定或通知的其他地址，以另一方签收日期视为送达，签收日期不明确的，以邮件寄出后第3日视为送达。收件人拒收的，拒收之日视为送达。</w:t>
      </w:r>
    </w:p>
    <w:p>
      <w:pPr>
        <w:widowControl w:val="0"/>
        <w:snapToGrid w:val="0"/>
        <w:spacing w:before="0" w:after="0" w:afterAutospacing="0"/>
        <w:ind w:left="0" w:right="0" w:firstLine="0"/>
        <w:outlineLvl w:val="2"/>
        <w:rPr>
          <w:rFonts w:ascii="宋体" w:hAnsi="宋体"/>
          <w:b/>
          <w:bCs/>
          <w:sz w:val="24"/>
          <w:szCs w:val="24"/>
          <w:highlight w:val="none"/>
        </w:rPr>
      </w:pPr>
      <w:r>
        <w:rPr>
          <w:rFonts w:hint="eastAsia" w:ascii="宋体" w:hAnsi="宋体"/>
          <w:b/>
          <w:bCs/>
          <w:sz w:val="24"/>
          <w:szCs w:val="24"/>
          <w:highlight w:val="none"/>
        </w:rPr>
        <w:t>18.保密条款</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乙方应严格履行保密义务。对于甲方提供给乙方的相关资料、乙方在工作过程中接触到关于甲方的相关资料或信息、履约过程中形成与甲方有关的结果资料或信息，乙方均应作为秘密信息对待，包括但不限于：各种往来文件、函件、文档、报告、报表、会议纪要、视频、图片、影音等。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pPr>
        <w:widowControl w:val="0"/>
        <w:snapToGrid w:val="0"/>
        <w:spacing w:before="0" w:after="0" w:afterAutospacing="0"/>
        <w:ind w:left="0" w:right="0" w:firstLine="0"/>
        <w:outlineLvl w:val="2"/>
        <w:rPr>
          <w:rFonts w:ascii="宋体" w:hAnsi="宋体"/>
          <w:b/>
          <w:bCs/>
          <w:sz w:val="24"/>
          <w:szCs w:val="24"/>
          <w:highlight w:val="none"/>
        </w:rPr>
      </w:pPr>
      <w:r>
        <w:rPr>
          <w:rFonts w:hint="eastAsia" w:ascii="宋体" w:hAnsi="宋体"/>
          <w:b/>
          <w:bCs/>
          <w:sz w:val="24"/>
          <w:szCs w:val="24"/>
          <w:highlight w:val="none"/>
        </w:rPr>
        <w:t>19.廉洁条款特别约定</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19.1严格遵守国家有关法律法规以及廉洁条款的有关规定。</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19.2严格遵守商业道德和市场规则，共同营造公平公正的商业交易环境。</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19.3不向甲方及其人员提供回扣、礼金、有价证券、支付凭证、贵重物品等。</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19.4不为甲方及其人员报销应由贵公司或个人支付的费用。</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19.5不为甲方人员投资入股，个人借款或买卖股票、债券等提供方便。</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19.6不为甲方人员购买或装修住房、婚丧嫁娶、配偶和子女上学或工作安排以及出国（境）、旅游等提供方便。</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19.7不为甲方人员安排的有可能影响履行合同的宴请、健身、娱乐等活动。</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19.8不为甲方及其人员购置或提供通讯工具、交通工具和高档办公用品。</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19.9不为甲方人员的配偶、子女及其他人亲属谋取不正当利益提供方便。</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19.10不违反规定安排甲方人员在乙方或乙方相关企业兼职和领取兼职工资及报酬；不得利用非法手段向甲方打探有关涉及贵公司的商业秘密、业务渠道等。</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19.11甲方对涉嫌不廉洁的商业行为进行调查时，乙方应配合甲方提供证据、作证的义务。</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19.12未经甲方书面同意，乙方不得向任何新闻媒体、第三人述及有关甲方人员廉洁从业方面的评价、信息。</w:t>
      </w:r>
    </w:p>
    <w:p>
      <w:pPr>
        <w:snapToGrid w:val="0"/>
        <w:spacing w:before="0" w:after="0" w:afterAutospacing="0"/>
        <w:ind w:left="0" w:firstLine="420" w:firstLineChars="200"/>
        <w:jc w:val="left"/>
        <w:rPr>
          <w:rFonts w:ascii="宋体" w:hAnsi="宋体"/>
          <w:highlight w:val="none"/>
        </w:rPr>
      </w:pPr>
      <w:r>
        <w:rPr>
          <w:rFonts w:hint="eastAsia" w:ascii="宋体" w:hAnsi="宋体"/>
          <w:highlight w:val="none"/>
        </w:rPr>
        <w:t>19.13如有违反的，一经发现，甲方可以立即终止与乙方之间合作业务并无须承担任何经济和法律责任。</w:t>
      </w:r>
    </w:p>
    <w:p>
      <w:pPr>
        <w:widowControl w:val="0"/>
        <w:spacing w:before="0" w:after="0" w:afterAutospacing="0"/>
        <w:ind w:left="0" w:right="0" w:firstLine="0"/>
        <w:outlineLvl w:val="2"/>
        <w:rPr>
          <w:rFonts w:ascii="Calibri" w:hAnsi="Calibri"/>
          <w:b/>
          <w:bCs/>
          <w:sz w:val="24"/>
          <w:szCs w:val="24"/>
          <w:highlight w:val="none"/>
        </w:rPr>
      </w:pPr>
      <w:r>
        <w:rPr>
          <w:rFonts w:hint="eastAsia" w:ascii="宋体" w:hAnsi="宋体"/>
          <w:b/>
          <w:bCs/>
          <w:sz w:val="24"/>
          <w:szCs w:val="24"/>
          <w:highlight w:val="none"/>
        </w:rPr>
        <w:t>20.争</w:t>
      </w:r>
      <w:r>
        <w:rPr>
          <w:rFonts w:hint="eastAsia" w:ascii="Calibri" w:hAnsi="Calibri"/>
          <w:b/>
          <w:bCs/>
          <w:sz w:val="24"/>
          <w:szCs w:val="24"/>
          <w:highlight w:val="none"/>
        </w:rPr>
        <w:t>议解决方式</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20.1甲乙双方履行合同中发生争议的，可以先通过友好协商解决。</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20.2双方协商不成的，应当按下列第（2）种方式解决：</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（1）提交南宁仲裁委员会仲裁；</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（2）依法向甲方所在地人民法院起诉。</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20.3发生争议后，除非出现下列情况的，双方都应继续履行合同，保持培训服务连续并保护好已完项目：</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（1）单方违约导致合同确己无法履行，双方协议停止培训服务；</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（2）不可抗力导致合同无法履行；</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（3）调解要求停止培训服务，且为双方接受；</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（4）仲裁机关要求停止培训服务；</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（5）法院要求停止培训服务。</w:t>
      </w:r>
    </w:p>
    <w:p>
      <w:pPr>
        <w:widowControl w:val="0"/>
        <w:snapToGrid w:val="0"/>
        <w:spacing w:before="0" w:after="0" w:afterAutospacing="0"/>
        <w:ind w:left="0" w:right="0" w:firstLine="0"/>
        <w:outlineLvl w:val="2"/>
        <w:rPr>
          <w:b/>
          <w:bCs/>
          <w:sz w:val="24"/>
          <w:szCs w:val="24"/>
          <w:highlight w:val="none"/>
        </w:rPr>
      </w:pPr>
      <w:r>
        <w:rPr>
          <w:rFonts w:hint="eastAsia" w:ascii="宋体" w:hAnsi="宋体"/>
          <w:b/>
          <w:bCs/>
          <w:sz w:val="24"/>
          <w:szCs w:val="24"/>
          <w:highlight w:val="none"/>
        </w:rPr>
        <w:t>21.其</w:t>
      </w:r>
      <w:r>
        <w:rPr>
          <w:rFonts w:hint="eastAsia"/>
          <w:b/>
          <w:bCs/>
          <w:sz w:val="24"/>
          <w:szCs w:val="24"/>
          <w:highlight w:val="none"/>
        </w:rPr>
        <w:t>他约定事项</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21.1本项目的附属设施若有损坏，本着“谁损坏，谁赔偿”的原则解决。</w:t>
      </w:r>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21.2本合同未尽事宜，由双方协商解决，必要时可签订补充合同。</w:t>
      </w:r>
      <w:bookmarkEnd w:id="119"/>
      <w:bookmarkEnd w:id="120"/>
      <w:bookmarkEnd w:id="121"/>
      <w:bookmarkEnd w:id="122"/>
      <w:bookmarkEnd w:id="123"/>
    </w:p>
    <w:p>
      <w:pPr>
        <w:widowControl w:val="0"/>
        <w:snapToGrid w:val="0"/>
        <w:spacing w:before="0" w:after="0" w:afterAutospacing="0"/>
        <w:ind w:left="0" w:right="0" w:firstLine="420" w:firstLineChars="200"/>
        <w:textAlignment w:val="bottom"/>
        <w:rPr>
          <w:rFonts w:ascii="宋体" w:hAnsi="宋体"/>
          <w:kern w:val="2"/>
          <w:highlight w:val="none"/>
        </w:rPr>
      </w:pPr>
      <w:r>
        <w:rPr>
          <w:rFonts w:hint="eastAsia" w:ascii="宋体" w:hAnsi="宋体"/>
          <w:kern w:val="2"/>
          <w:highlight w:val="none"/>
        </w:rPr>
        <w:t>21.3 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27"/>
        <w:ind w:left="0" w:leftChars="0" w:firstLine="0" w:firstLineChars="0"/>
        <w:rPr>
          <w:highlight w:val="none"/>
        </w:rPr>
      </w:pPr>
    </w:p>
    <w:p>
      <w:pPr>
        <w:pStyle w:val="5"/>
        <w:spacing w:before="40" w:after="40" w:line="240" w:lineRule="auto"/>
        <w:jc w:val="center"/>
        <w:rPr>
          <w:rFonts w:ascii="Times New Roman" w:hAnsi="Times New Roman" w:eastAsia="宋体"/>
          <w:highlight w:val="none"/>
        </w:rPr>
      </w:pPr>
      <w:bookmarkStart w:id="124" w:name="_Toc27516"/>
      <w:bookmarkStart w:id="125" w:name="_Toc26537"/>
      <w:r>
        <w:rPr>
          <w:rFonts w:ascii="Times New Roman" w:hAnsi="Times New Roman" w:eastAsia="宋体"/>
          <w:highlight w:val="none"/>
        </w:rPr>
        <w:t>第</w:t>
      </w:r>
      <w:r>
        <w:rPr>
          <w:rFonts w:hint="eastAsia" w:ascii="Times New Roman" w:hAnsi="Times New Roman" w:eastAsia="宋体"/>
          <w:highlight w:val="none"/>
        </w:rPr>
        <w:t>五</w:t>
      </w:r>
      <w:r>
        <w:rPr>
          <w:rFonts w:ascii="Times New Roman" w:hAnsi="Times New Roman" w:eastAsia="宋体"/>
          <w:highlight w:val="none"/>
        </w:rPr>
        <w:t>部分</w:t>
      </w:r>
      <w:bookmarkEnd w:id="124"/>
      <w:r>
        <w:rPr>
          <w:rFonts w:hint="eastAsia" w:ascii="Times New Roman" w:hAnsi="Times New Roman" w:eastAsia="宋体"/>
          <w:highlight w:val="none"/>
        </w:rPr>
        <w:t xml:space="preserve">  技术规格书</w:t>
      </w:r>
      <w:bookmarkEnd w:id="125"/>
    </w:p>
    <w:p>
      <w:pPr>
        <w:rPr>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26" w:name="_Toc9280"/>
      <w:bookmarkStart w:id="127" w:name="_Toc3585"/>
      <w:r>
        <w:rPr>
          <w:rFonts w:ascii="Times New Roman" w:hAnsi="Times New Roman" w:eastAsia="宋体"/>
          <w:highlight w:val="none"/>
        </w:rPr>
        <w:t>第</w:t>
      </w:r>
      <w:r>
        <w:rPr>
          <w:rFonts w:hint="eastAsia" w:ascii="Times New Roman" w:hAnsi="Times New Roman" w:eastAsia="宋体"/>
          <w:highlight w:val="none"/>
        </w:rPr>
        <w:t>六</w:t>
      </w:r>
      <w:r>
        <w:rPr>
          <w:rFonts w:ascii="Times New Roman" w:hAnsi="Times New Roman" w:eastAsia="宋体"/>
          <w:highlight w:val="none"/>
        </w:rPr>
        <w:t>部分</w:t>
      </w:r>
      <w:bookmarkEnd w:id="126"/>
      <w:r>
        <w:rPr>
          <w:rFonts w:hint="eastAsia" w:ascii="Times New Roman" w:hAnsi="Times New Roman" w:eastAsia="宋体"/>
          <w:highlight w:val="none"/>
        </w:rPr>
        <w:t xml:space="preserve">  合同附件</w:t>
      </w:r>
      <w:bookmarkEnd w:id="127"/>
    </w:p>
    <w:p>
      <w:pPr>
        <w:pStyle w:val="53"/>
        <w:adjustRightInd/>
        <w:spacing w:before="0" w:after="0" w:line="360" w:lineRule="auto"/>
        <w:ind w:left="0" w:right="0"/>
        <w:rPr>
          <w:rFonts w:ascii="宋体" w:hAnsi="宋体"/>
          <w:sz w:val="21"/>
          <w:szCs w:val="21"/>
          <w:highlight w:val="none"/>
        </w:rPr>
      </w:pPr>
    </w:p>
    <w:p>
      <w:pPr>
        <w:pStyle w:val="6"/>
        <w:numPr>
          <w:ilvl w:val="0"/>
          <w:numId w:val="3"/>
        </w:numPr>
        <w:rPr>
          <w:rFonts w:hint="eastAsia" w:ascii="宋体" w:hAnsi="宋体"/>
          <w:b w:val="0"/>
          <w:highlight w:val="none"/>
        </w:rPr>
      </w:pPr>
      <w:r>
        <w:rPr>
          <w:rFonts w:hint="eastAsia" w:ascii="宋体" w:hAnsi="宋体"/>
          <w:b w:val="0"/>
          <w:highlight w:val="none"/>
        </w:rPr>
        <w:t>履约保证金缴纳凭证（履约保函格式附后）</w:t>
      </w:r>
    </w:p>
    <w:p>
      <w:pPr>
        <w:numPr>
          <w:ilvl w:val="0"/>
          <w:numId w:val="3"/>
        </w:numPr>
      </w:pPr>
      <w:r>
        <w:rPr>
          <w:rFonts w:hint="eastAsia"/>
          <w:lang w:val="en-US" w:eastAsia="zh-CN"/>
        </w:rPr>
        <w:t>合同清单</w:t>
      </w:r>
    </w:p>
    <w:p>
      <w:pPr>
        <w:pageBreakBefore/>
        <w:tabs>
          <w:tab w:val="left" w:pos="1134"/>
          <w:tab w:val="left" w:pos="8364"/>
        </w:tabs>
        <w:spacing w:before="0" w:after="0" w:afterAutospacing="0"/>
        <w:ind w:left="0" w:right="-57" w:hanging="11"/>
        <w:rPr>
          <w:rFonts w:ascii="宋体" w:hAnsi="宋体"/>
          <w:sz w:val="24"/>
          <w:szCs w:val="24"/>
          <w:highlight w:val="none"/>
        </w:rPr>
      </w:pPr>
      <w:r>
        <w:rPr>
          <w:rFonts w:hint="eastAsia" w:ascii="宋体" w:hAnsi="宋体"/>
          <w:b/>
          <w:sz w:val="24"/>
          <w:szCs w:val="24"/>
          <w:highlight w:val="none"/>
        </w:rPr>
        <w:t>附件6.1 银行</w:t>
      </w:r>
      <w:r>
        <w:rPr>
          <w:rFonts w:ascii="宋体" w:hAnsi="宋体"/>
          <w:b/>
          <w:sz w:val="24"/>
          <w:szCs w:val="24"/>
          <w:highlight w:val="none"/>
        </w:rPr>
        <w:t>保函</w:t>
      </w:r>
      <w:r>
        <w:rPr>
          <w:rFonts w:hint="eastAsia" w:ascii="宋体" w:hAnsi="宋体"/>
          <w:b/>
          <w:sz w:val="24"/>
          <w:szCs w:val="24"/>
          <w:highlight w:val="none"/>
        </w:rPr>
        <w:t>格式</w:t>
      </w:r>
    </w:p>
    <w:p>
      <w:pPr>
        <w:spacing w:before="0" w:after="0" w:afterAutospacing="0"/>
        <w:ind w:right="-57" w:firstLine="0"/>
        <w:jc w:val="center"/>
        <w:rPr>
          <w:rFonts w:ascii="宋体" w:hAnsi="宋体"/>
          <w:b/>
          <w:sz w:val="28"/>
          <w:szCs w:val="28"/>
          <w:highlight w:val="none"/>
        </w:rPr>
      </w:pPr>
      <w:r>
        <w:rPr>
          <w:rFonts w:hint="eastAsia" w:ascii="宋体" w:hAnsi="宋体"/>
          <w:b/>
          <w:sz w:val="24"/>
          <w:szCs w:val="24"/>
          <w:highlight w:val="none"/>
        </w:rPr>
        <w:t>银行</w:t>
      </w:r>
      <w:r>
        <w:rPr>
          <w:rFonts w:ascii="宋体" w:hAnsi="宋体"/>
          <w:b/>
          <w:sz w:val="24"/>
          <w:szCs w:val="24"/>
          <w:highlight w:val="none"/>
        </w:rPr>
        <w:t>保函</w:t>
      </w:r>
      <w:r>
        <w:rPr>
          <w:rFonts w:hint="eastAsia" w:ascii="宋体" w:hAnsi="宋体"/>
          <w:b/>
          <w:sz w:val="24"/>
          <w:szCs w:val="24"/>
          <w:highlight w:val="none"/>
        </w:rPr>
        <w:t>（中</w:t>
      </w:r>
      <w:r>
        <w:rPr>
          <w:rFonts w:hint="eastAsia" w:ascii="宋体" w:hAnsi="宋体"/>
          <w:b/>
          <w:sz w:val="24"/>
          <w:szCs w:val="24"/>
          <w:highlight w:val="none"/>
          <w:lang w:val="en-US" w:eastAsia="zh-CN"/>
        </w:rPr>
        <w:t>选</w:t>
      </w:r>
      <w:r>
        <w:rPr>
          <w:rFonts w:hint="eastAsia" w:ascii="宋体" w:hAnsi="宋体"/>
          <w:b/>
          <w:sz w:val="24"/>
          <w:szCs w:val="24"/>
          <w:highlight w:val="none"/>
        </w:rPr>
        <w:t>后提供）</w:t>
      </w:r>
    </w:p>
    <w:p>
      <w:pPr>
        <w:pStyle w:val="2"/>
        <w:spacing w:before="0" w:after="0" w:afterAutospacing="0"/>
        <w:ind w:left="0" w:right="0" w:firstLine="480" w:firstLineChars="200"/>
        <w:jc w:val="left"/>
        <w:rPr>
          <w:rFonts w:hAnsi="宋体"/>
          <w:spacing w:val="20"/>
          <w:highlight w:val="none"/>
        </w:rPr>
      </w:pPr>
      <w:r>
        <w:rPr>
          <w:rFonts w:hint="eastAsia" w:hAnsi="宋体"/>
          <w:spacing w:val="20"/>
          <w:highlight w:val="none"/>
        </w:rPr>
        <w:t>保函编号：</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致：</w:t>
      </w:r>
      <w:r>
        <w:rPr>
          <w:rFonts w:hint="eastAsia" w:ascii="宋体" w:hAnsi="宋体"/>
          <w:highlight w:val="none"/>
          <w:u w:val="single"/>
        </w:rPr>
        <w:t xml:space="preserve"> （甲方名称）</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鉴于贵方已于年月日发出中</w:t>
      </w:r>
      <w:r>
        <w:rPr>
          <w:rFonts w:hint="eastAsia" w:ascii="宋体" w:hAnsi="宋体"/>
          <w:highlight w:val="none"/>
          <w:lang w:val="en-US" w:eastAsia="zh-CN"/>
        </w:rPr>
        <w:t>选</w:t>
      </w:r>
      <w:r>
        <w:rPr>
          <w:rFonts w:hint="eastAsia" w:ascii="宋体" w:hAnsi="宋体"/>
          <w:highlight w:val="none"/>
        </w:rPr>
        <w:t>通知书，本保函作为贵方将与</w:t>
      </w:r>
      <w:r>
        <w:rPr>
          <w:rFonts w:hint="eastAsia" w:ascii="宋体" w:hAnsi="宋体"/>
          <w:highlight w:val="none"/>
          <w:u w:val="single"/>
        </w:rPr>
        <w:t xml:space="preserve">   （乙方名称） </w:t>
      </w:r>
      <w:r>
        <w:rPr>
          <w:rFonts w:hint="eastAsia" w:ascii="宋体" w:hAnsi="宋体"/>
          <w:highlight w:val="none"/>
        </w:rPr>
        <w:t>（以下简称“乙方”）签订的</w:t>
      </w:r>
      <w:r>
        <w:rPr>
          <w:rFonts w:hint="eastAsia" w:ascii="宋体" w:hAnsi="宋体"/>
          <w:highlight w:val="none"/>
          <w:u w:val="single"/>
        </w:rPr>
        <w:t xml:space="preserve">  （项目名称）   </w:t>
      </w:r>
      <w:r>
        <w:rPr>
          <w:rFonts w:hint="eastAsia" w:ascii="宋体" w:hAnsi="宋体"/>
          <w:highlight w:val="none"/>
        </w:rPr>
        <w:t>以下简称“本项目”）合同（中</w:t>
      </w:r>
      <w:r>
        <w:rPr>
          <w:rFonts w:hint="eastAsia" w:ascii="宋体" w:hAnsi="宋体"/>
          <w:highlight w:val="none"/>
          <w:lang w:val="en-US" w:eastAsia="zh-CN"/>
        </w:rPr>
        <w:t>选</w:t>
      </w:r>
      <w:r>
        <w:rPr>
          <w:rFonts w:hint="eastAsia" w:ascii="宋体" w:hAnsi="宋体"/>
          <w:highlight w:val="none"/>
        </w:rPr>
        <w:t>价格￥元，大写：元）的银行保函。</w:t>
      </w:r>
    </w:p>
    <w:p>
      <w:pPr>
        <w:autoSpaceDE w:val="0"/>
        <w:autoSpaceDN w:val="0"/>
        <w:spacing w:before="0" w:after="0" w:afterAutospacing="0"/>
        <w:ind w:left="0" w:right="0" w:firstLine="420" w:firstLineChars="200"/>
        <w:jc w:val="left"/>
        <w:rPr>
          <w:rFonts w:ascii="宋体" w:hAnsi="宋体"/>
          <w:highlight w:val="none"/>
        </w:rPr>
      </w:pPr>
      <w:r>
        <w:rPr>
          <w:rFonts w:hint="eastAsia" w:ascii="宋体" w:hAnsi="宋体"/>
          <w:highlight w:val="none"/>
        </w:rPr>
        <w:t>我方</w:t>
      </w:r>
      <w:r>
        <w:rPr>
          <w:rFonts w:hint="eastAsia" w:ascii="宋体" w:hAnsi="宋体"/>
          <w:highlight w:val="none"/>
          <w:u w:val="single"/>
        </w:rPr>
        <w:t>（担保人名称    ）</w:t>
      </w:r>
      <w:r>
        <w:rPr>
          <w:rFonts w:hint="eastAsia" w:ascii="宋体" w:hAnsi="宋体"/>
          <w:highlight w:val="none"/>
        </w:rPr>
        <w:t>，受该乙方委托，为该乙方履行上述合同规定的义务做出如下无条件地和不可撤销的保证：</w:t>
      </w:r>
    </w:p>
    <w:p>
      <w:pPr>
        <w:autoSpaceDE w:val="0"/>
        <w:autoSpaceDN w:val="0"/>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宋体" w:hAnsi="宋体"/>
          <w:highlight w:val="none"/>
        </w:rPr>
        <w:t>我方在收到贵方提出要求支付保证金的通知时，无须提出任何证明或证据，将于7日内无条件地和不可改变地向贵方支付不超过人民币元（大写：）的任何要求金额，我方不要求贵方证实其在索赔要</w:t>
      </w:r>
      <w:r>
        <w:rPr>
          <w:rFonts w:hint="eastAsia" w:asciiTheme="minorEastAsia" w:hAnsiTheme="minorEastAsia" w:eastAsiaTheme="minorEastAsia" w:cstheme="minorEastAsia"/>
          <w:highlight w:val="none"/>
        </w:rPr>
        <w:t>求中指出的违约情况。</w:t>
      </w:r>
    </w:p>
    <w:p>
      <w:pPr>
        <w:autoSpaceDE w:val="0"/>
        <w:autoSpaceDN w:val="0"/>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本保函项下所有权利和义务均适用于中华人民共和国法律。</w:t>
      </w:r>
    </w:p>
    <w:p>
      <w:pPr>
        <w:autoSpaceDE w:val="0"/>
        <w:autoSpaceDN w:val="0"/>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1.本保函自</w:t>
      </w:r>
      <w:r>
        <w:rPr>
          <w:rFonts w:hint="eastAsia" w:asciiTheme="minorEastAsia" w:hAnsiTheme="minorEastAsia" w:eastAsiaTheme="minorEastAsia" w:cstheme="minorEastAsia"/>
          <w:highlight w:val="none"/>
          <w:u w:val="single"/>
        </w:rPr>
        <w:t>X年X月X日</w:t>
      </w:r>
      <w:r>
        <w:rPr>
          <w:rFonts w:hint="eastAsia" w:asciiTheme="minorEastAsia" w:hAnsiTheme="minorEastAsia" w:eastAsiaTheme="minorEastAsia" w:cstheme="minorEastAsia"/>
          <w:highlight w:val="none"/>
        </w:rPr>
        <w:t>起生效，至</w:t>
      </w:r>
      <w:r>
        <w:rPr>
          <w:rFonts w:hint="eastAsia" w:asciiTheme="minorEastAsia" w:hAnsiTheme="minorEastAsia" w:eastAsiaTheme="minorEastAsia" w:cstheme="minorEastAsia"/>
          <w:highlight w:val="none"/>
          <w:u w:val="single"/>
        </w:rPr>
        <w:t>全部服务验收合格之日后四十五（45）天一直</w:t>
      </w:r>
      <w:r>
        <w:rPr>
          <w:rFonts w:hint="eastAsia" w:asciiTheme="minorEastAsia" w:hAnsiTheme="minorEastAsia" w:eastAsiaTheme="minorEastAsia" w:cstheme="minorEastAsia"/>
          <w:highlight w:val="none"/>
        </w:rPr>
        <w:t>有效，你方有权提前终止或解除本保函。保函失效后请将本保函退回我方注销。</w:t>
      </w:r>
    </w:p>
    <w:p>
      <w:pPr>
        <w:autoSpaceDE w:val="0"/>
        <w:autoSpaceDN w:val="0"/>
        <w:spacing w:before="0" w:after="0" w:afterAutospacing="0"/>
        <w:ind w:left="0" w:right="0" w:firstLine="420" w:firstLineChars="200"/>
        <w:jc w:val="left"/>
        <w:rPr>
          <w:rFonts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2.本保函自</w:t>
      </w:r>
      <w:r>
        <w:rPr>
          <w:rFonts w:hint="eastAsia" w:asciiTheme="minorEastAsia" w:hAnsiTheme="minorEastAsia" w:eastAsiaTheme="minorEastAsia" w:cstheme="minorEastAsia"/>
          <w:highlight w:val="none"/>
          <w:u w:val="single"/>
        </w:rPr>
        <w:t>X年X月X日</w:t>
      </w:r>
      <w:r>
        <w:rPr>
          <w:rFonts w:hint="eastAsia" w:asciiTheme="minorEastAsia" w:hAnsiTheme="minorEastAsia" w:eastAsiaTheme="minorEastAsia" w:cstheme="minorEastAsia"/>
          <w:highlight w:val="none"/>
        </w:rPr>
        <w:t>起生效，至</w:t>
      </w:r>
      <w:r>
        <w:rPr>
          <w:rFonts w:hint="eastAsia" w:asciiTheme="minorEastAsia" w:hAnsiTheme="minorEastAsia" w:eastAsiaTheme="minorEastAsia" w:cstheme="minorEastAsia"/>
          <w:highlight w:val="none"/>
          <w:u w:val="single"/>
        </w:rPr>
        <w:t>X年X月X日</w:t>
      </w:r>
      <w:r>
        <w:rPr>
          <w:rFonts w:hint="eastAsia" w:asciiTheme="minorEastAsia" w:hAnsiTheme="minorEastAsia" w:eastAsiaTheme="minorEastAsia" w:cstheme="minorEastAsia"/>
          <w:highlight w:val="none"/>
        </w:rPr>
        <w:t>一直有效，你方有权提前终止或解除本保函。保函失效后请将本保函退回我方注销。</w:t>
      </w:r>
    </w:p>
    <w:p>
      <w:pPr>
        <w:spacing w:after="0" w:afterAutospacing="0"/>
        <w:ind w:left="0" w:right="-57" w:firstLine="0"/>
        <w:rPr>
          <w:rFonts w:asciiTheme="minorEastAsia" w:hAnsiTheme="minorEastAsia" w:eastAsiaTheme="minorEastAsia" w:cstheme="minorEastAsia"/>
          <w:highlight w:val="none"/>
        </w:rPr>
      </w:pPr>
      <w:r>
        <w:rPr>
          <w:rFonts w:hint="eastAsia" w:asciiTheme="minorEastAsia" w:hAnsiTheme="minorEastAsia" w:eastAsiaTheme="minorEastAsia" w:cstheme="minorEastAsia"/>
          <w:b/>
          <w:highlight w:val="none"/>
        </w:rPr>
        <w:t>（开具保函时，以上二种方式，任选一种。）</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 xml:space="preserve">银行地址：    </w:t>
      </w:r>
    </w:p>
    <w:p>
      <w:pPr>
        <w:spacing w:before="0" w:after="0" w:afterAutospacing="0"/>
        <w:ind w:left="0" w:right="0" w:firstLine="420" w:firstLineChars="200"/>
        <w:jc w:val="left"/>
        <w:rPr>
          <w:rFonts w:ascii="宋体" w:hAnsi="宋体" w:cs="Arial"/>
          <w:highlight w:val="none"/>
        </w:rPr>
      </w:pPr>
      <w:r>
        <w:rPr>
          <w:rFonts w:hint="eastAsia" w:ascii="宋体" w:hAnsi="宋体"/>
          <w:highlight w:val="none"/>
        </w:rPr>
        <w:t>担保银行：</w:t>
      </w:r>
      <w:r>
        <w:rPr>
          <w:rFonts w:hint="eastAsia" w:ascii="宋体" w:hAnsi="宋体"/>
          <w:highlight w:val="none"/>
          <w:u w:val="single"/>
        </w:rPr>
        <w:t xml:space="preserve">（全称）    </w:t>
      </w:r>
      <w:r>
        <w:rPr>
          <w:rFonts w:hint="eastAsia" w:ascii="宋体" w:hAnsi="宋体"/>
          <w:highlight w:val="none"/>
        </w:rPr>
        <w:t>(盖章)</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法定代表人或（委托代理人）：(签字)</w:t>
      </w:r>
    </w:p>
    <w:p>
      <w:pPr>
        <w:spacing w:before="0" w:after="0" w:afterAutospacing="0"/>
        <w:ind w:left="0" w:right="0" w:firstLine="420" w:firstLineChars="200"/>
        <w:jc w:val="left"/>
        <w:rPr>
          <w:rFonts w:ascii="宋体" w:hAnsi="宋体"/>
          <w:highlight w:val="none"/>
          <w:u w:val="single"/>
        </w:rPr>
      </w:pPr>
      <w:r>
        <w:rPr>
          <w:rFonts w:hint="eastAsia" w:ascii="宋体" w:hAnsi="宋体"/>
          <w:highlight w:val="none"/>
        </w:rPr>
        <w:t>电话：</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 xml:space="preserve">邮编：   传真：  </w:t>
      </w:r>
    </w:p>
    <w:p>
      <w:pPr>
        <w:spacing w:before="0" w:after="0" w:afterAutospacing="0"/>
        <w:ind w:left="0" w:right="0" w:firstLine="420" w:firstLineChars="200"/>
        <w:jc w:val="left"/>
        <w:rPr>
          <w:rFonts w:ascii="宋体" w:hAnsi="宋体"/>
          <w:b/>
          <w:sz w:val="24"/>
          <w:szCs w:val="24"/>
          <w:highlight w:val="none"/>
        </w:rPr>
        <w:sectPr>
          <w:pgSz w:w="11905" w:h="16838"/>
          <w:pgMar w:top="1417" w:right="1417" w:bottom="1417" w:left="1417" w:header="454" w:footer="567" w:gutter="0"/>
          <w:cols w:space="720" w:num="1"/>
          <w:docGrid w:linePitch="312" w:charSpace="0"/>
        </w:sectPr>
      </w:pPr>
      <w:r>
        <w:rPr>
          <w:rFonts w:hint="eastAsia" w:ascii="宋体" w:hAnsi="宋体"/>
          <w:highlight w:val="none"/>
        </w:rPr>
        <w:t>日期：年月日</w:t>
      </w:r>
    </w:p>
    <w:p>
      <w:pPr>
        <w:ind w:left="0" w:right="-57" w:firstLine="0"/>
        <w:jc w:val="center"/>
        <w:rPr>
          <w:rFonts w:ascii="宋体" w:hAnsi="宋体"/>
          <w:b/>
          <w:sz w:val="24"/>
          <w:szCs w:val="24"/>
          <w:highlight w:val="none"/>
        </w:rPr>
      </w:pPr>
      <w:r>
        <w:rPr>
          <w:rFonts w:hint="eastAsia" w:ascii="宋体" w:hAnsi="宋体"/>
          <w:b/>
          <w:sz w:val="24"/>
          <w:szCs w:val="24"/>
          <w:highlight w:val="none"/>
        </w:rPr>
        <w:t>承诺函（中</w:t>
      </w:r>
      <w:r>
        <w:rPr>
          <w:rFonts w:hint="eastAsia" w:ascii="宋体" w:hAnsi="宋体"/>
          <w:b/>
          <w:sz w:val="24"/>
          <w:szCs w:val="24"/>
          <w:highlight w:val="none"/>
          <w:lang w:val="en-US" w:eastAsia="zh-CN"/>
        </w:rPr>
        <w:t>选</w:t>
      </w:r>
      <w:r>
        <w:rPr>
          <w:rFonts w:hint="eastAsia" w:ascii="宋体" w:hAnsi="宋体"/>
          <w:b/>
          <w:sz w:val="24"/>
          <w:szCs w:val="24"/>
          <w:highlight w:val="none"/>
        </w:rPr>
        <w:t>后提供）</w:t>
      </w:r>
    </w:p>
    <w:p>
      <w:pPr>
        <w:ind w:right="-57" w:firstLine="0"/>
        <w:rPr>
          <w:rFonts w:ascii="宋体" w:hAnsi="宋体"/>
          <w:highlight w:val="none"/>
        </w:rPr>
      </w:pPr>
    </w:p>
    <w:p>
      <w:pPr>
        <w:spacing w:line="480" w:lineRule="auto"/>
        <w:ind w:left="0" w:right="-57" w:firstLine="0"/>
        <w:rPr>
          <w:rFonts w:ascii="宋体" w:hAnsi="宋体"/>
          <w:highlight w:val="none"/>
        </w:rPr>
      </w:pPr>
      <w:r>
        <w:rPr>
          <w:rFonts w:hint="eastAsia" w:ascii="宋体" w:hAnsi="宋体"/>
          <w:highlight w:val="none"/>
          <w:u w:val="single"/>
        </w:rPr>
        <w:t>（甲方名称）</w:t>
      </w:r>
      <w:r>
        <w:rPr>
          <w:rFonts w:hint="eastAsia" w:ascii="宋体" w:hAnsi="宋体"/>
          <w:highlight w:val="none"/>
        </w:rPr>
        <w:t>：</w:t>
      </w:r>
    </w:p>
    <w:p>
      <w:pPr>
        <w:spacing w:before="0" w:after="0" w:afterAutospacing="0"/>
        <w:ind w:left="0" w:right="0" w:firstLine="420" w:firstLineChars="200"/>
        <w:jc w:val="left"/>
        <w:rPr>
          <w:rFonts w:ascii="宋体" w:hAnsi="宋体"/>
          <w:highlight w:val="none"/>
        </w:rPr>
      </w:pPr>
      <w:r>
        <w:rPr>
          <w:rFonts w:hint="eastAsia" w:ascii="宋体" w:hAnsi="宋体"/>
          <w:highlight w:val="none"/>
          <w:u w:val="single"/>
        </w:rPr>
        <w:t>（乙方名称）</w:t>
      </w:r>
      <w:r>
        <w:rPr>
          <w:rFonts w:hint="eastAsia" w:ascii="宋体" w:hAnsi="宋体"/>
          <w:highlight w:val="none"/>
        </w:rPr>
        <w:t>（以下称“本公司”）现已中</w:t>
      </w:r>
      <w:r>
        <w:rPr>
          <w:rFonts w:hint="eastAsia" w:ascii="宋体" w:hAnsi="宋体"/>
          <w:highlight w:val="none"/>
          <w:lang w:val="en-US" w:eastAsia="zh-CN"/>
        </w:rPr>
        <w:t>选</w:t>
      </w:r>
      <w:r>
        <w:rPr>
          <w:rFonts w:hint="eastAsia" w:ascii="宋体" w:hAnsi="宋体"/>
          <w:highlight w:val="none"/>
        </w:rPr>
        <w:t>贵司</w:t>
      </w:r>
      <w:r>
        <w:rPr>
          <w:rFonts w:hint="eastAsia" w:ascii="宋体" w:hAnsi="宋体"/>
          <w:highlight w:val="none"/>
          <w:lang w:val="en-US" w:eastAsia="zh-CN"/>
        </w:rPr>
        <w:t>询比价</w:t>
      </w:r>
      <w:r>
        <w:rPr>
          <w:rFonts w:hint="eastAsia" w:ascii="宋体" w:hAnsi="宋体"/>
          <w:highlight w:val="none"/>
        </w:rPr>
        <w:t>的</w:t>
      </w:r>
      <w:r>
        <w:rPr>
          <w:rFonts w:hint="eastAsia" w:ascii="宋体" w:hAnsi="宋体"/>
          <w:highlight w:val="none"/>
          <w:u w:val="single"/>
        </w:rPr>
        <w:t xml:space="preserve">      （项目名称）</w:t>
      </w:r>
      <w:r>
        <w:rPr>
          <w:rFonts w:hint="eastAsia" w:ascii="宋体" w:hAnsi="宋体"/>
          <w:highlight w:val="none"/>
        </w:rPr>
        <w:t>，并拟签订正式合同，按合同规定需向贵司提供一份履约保证金金额为人民币：</w:t>
      </w:r>
      <w:r>
        <w:rPr>
          <w:rFonts w:hint="eastAsia" w:ascii="宋体" w:hAnsi="宋体"/>
          <w:highlight w:val="none"/>
          <w:u w:val="single"/>
        </w:rPr>
        <w:t xml:space="preserve">         （￥   </w:t>
      </w:r>
      <w:r>
        <w:rPr>
          <w:rFonts w:hint="eastAsia" w:ascii="宋体" w:hAnsi="宋体"/>
          <w:highlight w:val="none"/>
        </w:rPr>
        <w:t>）的银行保函（保函编号：），有效期至X年X月X日。</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本公司现向贵司郑重承诺，如上述保函到期日仍未到合同约定的时间（</w:t>
      </w:r>
      <w:r>
        <w:rPr>
          <w:rFonts w:hint="eastAsia" w:ascii="宋体" w:hAnsi="宋体"/>
          <w:highlight w:val="none"/>
          <w:u w:val="single"/>
        </w:rPr>
        <w:t>全部服务验收合格之日后四十五（45）天</w:t>
      </w:r>
      <w:r>
        <w:rPr>
          <w:rFonts w:hint="eastAsia" w:ascii="宋体" w:hAnsi="宋体"/>
          <w:highlight w:val="none"/>
        </w:rPr>
        <w:t>），本公司将在保函到期前60天，无条件延长保函有效期。如未及时向贵司提供符合规定的银行保函，我司承担违约责任的一切后果。</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特此承诺。</w:t>
      </w:r>
    </w:p>
    <w:p>
      <w:pPr>
        <w:ind w:right="-57" w:firstLine="420"/>
        <w:rPr>
          <w:rFonts w:ascii="宋体" w:hAnsi="宋体"/>
          <w:highlight w:val="none"/>
        </w:rPr>
      </w:pPr>
    </w:p>
    <w:p>
      <w:pPr>
        <w:ind w:left="5040" w:right="-57" w:hanging="4935"/>
        <w:rPr>
          <w:rFonts w:ascii="宋体" w:hAnsi="宋体"/>
          <w:highlight w:val="none"/>
        </w:rPr>
      </w:pPr>
      <w:r>
        <w:rPr>
          <w:rFonts w:hint="eastAsia" w:ascii="宋体" w:hAnsi="宋体"/>
          <w:highlight w:val="none"/>
        </w:rPr>
        <w:t xml:space="preserve">                                                                                     承诺人：</w:t>
      </w:r>
    </w:p>
    <w:p>
      <w:pPr>
        <w:ind w:left="4935" w:right="-57" w:hanging="4830"/>
        <w:rPr>
          <w:rFonts w:ascii="宋体" w:hAnsi="宋体"/>
          <w:highlight w:val="none"/>
        </w:rPr>
      </w:pPr>
      <w:r>
        <w:rPr>
          <w:rFonts w:hint="eastAsia" w:ascii="宋体" w:hAnsi="宋体"/>
          <w:highlight w:val="none"/>
        </w:rPr>
        <w:t xml:space="preserve">                                                                                      X年X月X日</w:t>
      </w:r>
    </w:p>
    <w:p>
      <w:pPr>
        <w:ind w:right="-57" w:firstLine="200"/>
        <w:rPr>
          <w:rFonts w:ascii="宋体" w:hAnsi="宋体"/>
          <w:b/>
          <w:i/>
          <w:highlight w:val="none"/>
        </w:rPr>
      </w:pPr>
    </w:p>
    <w:p>
      <w:pPr>
        <w:ind w:left="0" w:right="-57" w:firstLine="0"/>
        <w:rPr>
          <w:rFonts w:ascii="宋体" w:hAnsi="宋体"/>
          <w:b/>
          <w:iCs/>
          <w:highlight w:val="none"/>
        </w:rPr>
      </w:pPr>
      <w:r>
        <w:rPr>
          <w:rFonts w:hint="eastAsia" w:ascii="宋体" w:hAnsi="宋体"/>
          <w:b/>
          <w:iCs/>
          <w:highlight w:val="none"/>
        </w:rPr>
        <w:t>（当选择银行保函格式第2种方式时开具银行保函的，必须提供本承诺书。）</w:t>
      </w:r>
    </w:p>
    <w:p>
      <w:pPr>
        <w:tabs>
          <w:tab w:val="left" w:pos="1134"/>
          <w:tab w:val="left" w:pos="8364"/>
        </w:tabs>
        <w:spacing w:before="0"/>
        <w:ind w:right="-57" w:firstLine="0"/>
        <w:rPr>
          <w:rFonts w:ascii="宋体" w:hAnsi="宋体"/>
          <w:highlight w:val="none"/>
        </w:rPr>
      </w:pPr>
    </w:p>
    <w:p>
      <w:pPr>
        <w:tabs>
          <w:tab w:val="left" w:pos="1134"/>
          <w:tab w:val="left" w:pos="8364"/>
        </w:tabs>
        <w:spacing w:before="0"/>
        <w:ind w:left="1134" w:right="-57" w:firstLine="0"/>
        <w:rPr>
          <w:rFonts w:ascii="宋体" w:hAnsi="宋体"/>
          <w:highlight w:val="none"/>
        </w:rPr>
      </w:pPr>
    </w:p>
    <w:p>
      <w:pPr>
        <w:tabs>
          <w:tab w:val="left" w:pos="1134"/>
          <w:tab w:val="left" w:pos="8364"/>
        </w:tabs>
        <w:spacing w:before="0"/>
        <w:ind w:left="1134" w:right="-57" w:firstLine="0"/>
        <w:rPr>
          <w:rFonts w:ascii="宋体" w:hAnsi="宋体"/>
          <w:highlight w:val="none"/>
        </w:rPr>
      </w:pPr>
    </w:p>
    <w:p>
      <w:pPr>
        <w:pStyle w:val="2"/>
        <w:rPr>
          <w:rFonts w:hAnsi="宋体"/>
          <w:highlight w:val="none"/>
        </w:rPr>
      </w:pPr>
    </w:p>
    <w:p>
      <w:pPr>
        <w:pStyle w:val="3"/>
      </w:pPr>
    </w:p>
    <w:p>
      <w:pPr>
        <w:rPr>
          <w:highlight w:val="none"/>
        </w:rPr>
      </w:pPr>
    </w:p>
    <w:p>
      <w:pPr>
        <w:rPr>
          <w:highlight w:val="none"/>
        </w:rPr>
      </w:pPr>
    </w:p>
    <w:p>
      <w:pPr>
        <w:pStyle w:val="5"/>
        <w:spacing w:before="40" w:after="40" w:line="240" w:lineRule="auto"/>
        <w:jc w:val="center"/>
        <w:rPr>
          <w:rFonts w:ascii="Times New Roman" w:hAnsi="Times New Roman" w:eastAsia="宋体"/>
          <w:highlight w:val="none"/>
        </w:rPr>
      </w:pPr>
      <w:bookmarkStart w:id="128" w:name="_Toc19999"/>
      <w:bookmarkStart w:id="129" w:name="_Toc7611"/>
      <w:bookmarkStart w:id="130" w:name="_Toc26046"/>
      <w:bookmarkStart w:id="131" w:name="_Toc29622"/>
      <w:bookmarkStart w:id="132" w:name="_Toc24244"/>
      <w:bookmarkStart w:id="133" w:name="_Toc24273"/>
      <w:bookmarkStart w:id="134" w:name="_Toc11620"/>
      <w:bookmarkStart w:id="135" w:name="_Toc92268652"/>
      <w:bookmarkStart w:id="136" w:name="_Toc28540"/>
      <w:bookmarkStart w:id="137" w:name="_Toc14108"/>
      <w:bookmarkStart w:id="138" w:name="_Toc8409"/>
      <w:r>
        <w:rPr>
          <w:rFonts w:ascii="Times New Roman" w:hAnsi="Times New Roman" w:eastAsia="宋体"/>
          <w:highlight w:val="none"/>
        </w:rPr>
        <w:t>第</w:t>
      </w:r>
      <w:r>
        <w:rPr>
          <w:rFonts w:hint="eastAsia" w:ascii="Times New Roman" w:hAnsi="Times New Roman" w:eastAsia="宋体"/>
          <w:highlight w:val="none"/>
        </w:rPr>
        <w:t>七</w:t>
      </w:r>
      <w:r>
        <w:rPr>
          <w:rFonts w:ascii="Times New Roman" w:hAnsi="Times New Roman" w:eastAsia="宋体"/>
          <w:highlight w:val="none"/>
        </w:rPr>
        <w:t>部分</w:t>
      </w:r>
      <w:r>
        <w:rPr>
          <w:rFonts w:hint="eastAsia" w:ascii="Times New Roman" w:hAnsi="Times New Roman" w:eastAsia="宋体"/>
          <w:highlight w:val="none"/>
        </w:rPr>
        <w:t xml:space="preserve"> </w:t>
      </w:r>
      <w:r>
        <w:rPr>
          <w:rFonts w:hint="eastAsia" w:ascii="Times New Roman" w:hAnsi="Times New Roman" w:eastAsia="宋体"/>
          <w:highlight w:val="none"/>
          <w:lang w:val="en-US" w:eastAsia="zh-CN"/>
        </w:rPr>
        <w:t>询比价</w:t>
      </w:r>
      <w:r>
        <w:rPr>
          <w:rFonts w:hint="eastAsia" w:ascii="Times New Roman" w:hAnsi="Times New Roman" w:eastAsia="宋体"/>
          <w:highlight w:val="none"/>
        </w:rPr>
        <w:t>文件</w:t>
      </w:r>
      <w:bookmarkEnd w:id="128"/>
      <w:bookmarkEnd w:id="129"/>
      <w:bookmarkEnd w:id="130"/>
      <w:bookmarkEnd w:id="131"/>
      <w:bookmarkEnd w:id="132"/>
      <w:bookmarkEnd w:id="133"/>
      <w:bookmarkEnd w:id="134"/>
      <w:bookmarkEnd w:id="135"/>
      <w:bookmarkEnd w:id="136"/>
      <w:bookmarkEnd w:id="137"/>
      <w:bookmarkEnd w:id="138"/>
      <w:r>
        <w:rPr>
          <w:rFonts w:hint="eastAsia" w:ascii="Times New Roman" w:hAnsi="Times New Roman" w:eastAsia="宋体"/>
          <w:highlight w:val="none"/>
        </w:rPr>
        <w:t>（含询比价文件补充文件）</w:t>
      </w:r>
    </w:p>
    <w:p>
      <w:pPr>
        <w:pStyle w:val="53"/>
        <w:adjustRightInd/>
        <w:spacing w:before="0" w:after="0" w:line="360" w:lineRule="auto"/>
        <w:ind w:left="0" w:right="0"/>
        <w:rPr>
          <w:rFonts w:ascii="宋体" w:hAnsi="宋体"/>
          <w:sz w:val="21"/>
          <w:szCs w:val="21"/>
          <w:highlight w:val="none"/>
        </w:rPr>
      </w:pPr>
    </w:p>
    <w:p>
      <w:pPr>
        <w:snapToGrid w:val="0"/>
        <w:jc w:val="center"/>
        <w:rPr>
          <w:rFonts w:ascii="宋体" w:hAnsi="宋体"/>
          <w:b/>
          <w:sz w:val="28"/>
          <w:szCs w:val="28"/>
          <w:highlight w:val="none"/>
        </w:rPr>
      </w:pPr>
      <w:r>
        <w:rPr>
          <w:rFonts w:hint="eastAsia" w:ascii="宋体" w:hAnsi="宋体"/>
          <w:b/>
          <w:sz w:val="28"/>
          <w:szCs w:val="28"/>
          <w:highlight w:val="none"/>
        </w:rPr>
        <w:t>（另册）</w:t>
      </w:r>
    </w:p>
    <w:p>
      <w:pPr>
        <w:pStyle w:val="53"/>
        <w:adjustRightInd/>
        <w:spacing w:before="0" w:after="0" w:line="360" w:lineRule="auto"/>
        <w:ind w:left="0" w:right="0"/>
        <w:rPr>
          <w:rFonts w:ascii="宋体" w:hAnsi="宋体"/>
          <w:sz w:val="21"/>
          <w:szCs w:val="21"/>
          <w:highlight w:val="none"/>
        </w:rPr>
      </w:pPr>
    </w:p>
    <w:p>
      <w:pPr>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pStyle w:val="2"/>
        <w:rPr>
          <w:highlight w:val="none"/>
        </w:rPr>
      </w:pPr>
    </w:p>
    <w:p>
      <w:pPr>
        <w:rPr>
          <w:highlight w:val="none"/>
        </w:rPr>
      </w:pPr>
    </w:p>
    <w:p>
      <w:pPr>
        <w:rPr>
          <w:highlight w:val="none"/>
        </w:rPr>
      </w:pPr>
    </w:p>
    <w:p>
      <w:pPr>
        <w:pStyle w:val="2"/>
        <w:rPr>
          <w:highlight w:val="none"/>
        </w:rPr>
      </w:pPr>
    </w:p>
    <w:p>
      <w:pPr>
        <w:pStyle w:val="2"/>
        <w:rPr>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3"/>
        <w:adjustRightInd/>
        <w:spacing w:before="0" w:after="0" w:line="360" w:lineRule="auto"/>
        <w:ind w:left="0" w:right="0"/>
        <w:rPr>
          <w:rFonts w:ascii="宋体" w:hAnsi="宋体"/>
          <w:sz w:val="21"/>
          <w:szCs w:val="21"/>
          <w:highlight w:val="none"/>
        </w:rPr>
      </w:pPr>
    </w:p>
    <w:p>
      <w:pPr>
        <w:pStyle w:val="5"/>
        <w:spacing w:before="40" w:after="40" w:line="240" w:lineRule="auto"/>
        <w:jc w:val="center"/>
        <w:rPr>
          <w:rFonts w:ascii="Times New Roman" w:hAnsi="Times New Roman" w:eastAsia="宋体"/>
          <w:highlight w:val="none"/>
        </w:rPr>
      </w:pPr>
      <w:bookmarkStart w:id="139" w:name="_Toc21928"/>
      <w:bookmarkStart w:id="140" w:name="_Toc10283"/>
      <w:bookmarkStart w:id="141" w:name="_Toc92268653"/>
      <w:bookmarkStart w:id="142" w:name="_Toc26185"/>
      <w:bookmarkStart w:id="143" w:name="_Toc4044"/>
      <w:bookmarkStart w:id="144" w:name="_Toc6886"/>
      <w:bookmarkStart w:id="145" w:name="_Toc30461"/>
      <w:bookmarkStart w:id="146" w:name="_Toc2086"/>
      <w:bookmarkStart w:id="147" w:name="_Toc9454"/>
      <w:bookmarkStart w:id="148" w:name="_Toc16510"/>
      <w:bookmarkStart w:id="149" w:name="_Toc10250"/>
      <w:r>
        <w:rPr>
          <w:rFonts w:ascii="Times New Roman" w:hAnsi="Times New Roman" w:eastAsia="宋体"/>
          <w:highlight w:val="none"/>
        </w:rPr>
        <w:t>第</w:t>
      </w:r>
      <w:r>
        <w:rPr>
          <w:rFonts w:hint="eastAsia" w:ascii="Times New Roman" w:hAnsi="Times New Roman" w:eastAsia="宋体"/>
          <w:highlight w:val="none"/>
        </w:rPr>
        <w:t>八</w:t>
      </w:r>
      <w:r>
        <w:rPr>
          <w:rFonts w:ascii="Times New Roman" w:hAnsi="Times New Roman" w:eastAsia="宋体"/>
          <w:highlight w:val="none"/>
        </w:rPr>
        <w:t>部分</w:t>
      </w:r>
      <w:r>
        <w:rPr>
          <w:rFonts w:hint="eastAsia" w:ascii="Times New Roman" w:hAnsi="Times New Roman" w:eastAsia="宋体"/>
          <w:highlight w:val="none"/>
        </w:rPr>
        <w:t xml:space="preserve"> </w:t>
      </w:r>
      <w:r>
        <w:rPr>
          <w:rFonts w:hint="eastAsia" w:ascii="Times New Roman" w:hAnsi="Times New Roman" w:eastAsia="宋体"/>
          <w:highlight w:val="none"/>
          <w:lang w:val="en-US" w:eastAsia="zh-CN"/>
        </w:rPr>
        <w:t>询比价申请</w:t>
      </w:r>
      <w:r>
        <w:rPr>
          <w:rFonts w:hint="eastAsia" w:ascii="Times New Roman" w:hAnsi="Times New Roman" w:eastAsia="宋体"/>
          <w:highlight w:val="none"/>
        </w:rPr>
        <w:t>文件</w:t>
      </w:r>
      <w:bookmarkEnd w:id="139"/>
      <w:bookmarkEnd w:id="140"/>
      <w:bookmarkEnd w:id="141"/>
      <w:bookmarkEnd w:id="142"/>
      <w:bookmarkEnd w:id="143"/>
      <w:bookmarkEnd w:id="144"/>
      <w:bookmarkEnd w:id="145"/>
      <w:bookmarkEnd w:id="146"/>
      <w:bookmarkEnd w:id="147"/>
      <w:bookmarkEnd w:id="148"/>
      <w:bookmarkEnd w:id="149"/>
      <w:r>
        <w:rPr>
          <w:rFonts w:hint="eastAsia" w:ascii="Times New Roman" w:hAnsi="Times New Roman" w:eastAsia="宋体"/>
          <w:highlight w:val="none"/>
        </w:rPr>
        <w:t>（含询比价申请补充文件）</w:t>
      </w:r>
    </w:p>
    <w:p>
      <w:pPr>
        <w:pStyle w:val="53"/>
        <w:adjustRightInd/>
        <w:spacing w:before="0" w:after="0" w:line="360" w:lineRule="auto"/>
        <w:ind w:left="0" w:right="0"/>
        <w:rPr>
          <w:rFonts w:ascii="宋体" w:hAnsi="宋体"/>
          <w:sz w:val="21"/>
          <w:szCs w:val="21"/>
          <w:highlight w:val="none"/>
        </w:rPr>
      </w:pPr>
    </w:p>
    <w:p>
      <w:pPr>
        <w:snapToGrid w:val="0"/>
        <w:jc w:val="center"/>
        <w:rPr>
          <w:highlight w:val="none"/>
        </w:rPr>
      </w:pPr>
      <w:r>
        <w:rPr>
          <w:rFonts w:hint="eastAsia" w:ascii="宋体" w:hAnsi="宋体"/>
          <w:b/>
          <w:sz w:val="28"/>
          <w:szCs w:val="28"/>
          <w:highlight w:val="none"/>
        </w:rPr>
        <w:t>（另册）</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33"/>
      <w:bookmarkEnd w:id="34"/>
      <w:bookmarkEnd w:id="35"/>
      <w:bookmarkEnd w:id="36"/>
      <w:bookmarkEnd w:id="37"/>
      <w:bookmarkEnd w:id="38"/>
      <w:bookmarkEnd w:id="39"/>
      <w:bookmarkEnd w:id="40"/>
      <w:bookmarkEnd w:id="41"/>
    </w:p>
    <w:sectPr>
      <w:headerReference r:id="rId8" w:type="default"/>
      <w:pgSz w:w="11905" w:h="16838"/>
      <w:pgMar w:top="1134" w:right="1134" w:bottom="1134" w:left="1134" w:header="170" w:footer="0" w:gutter="0"/>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文本框 4"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6gPDMkBAACZAwAADgAAAGRycy9lMm9Eb2MueG1srVPNjtMwEL4j8Q6W&#10;79RpB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bqA8MyQEAAJkDAAAOAAAAAAAAAAEAIAAAAB4BAABkcnMvZTJvRG9j&#10;LnhtbFBLBQYAAAAABgAGAFkBAABZBQAAAAA=&#1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76</w:t>
                </w:r>
                <w:r>
                  <w:fldChar w:fldCharType="end"/>
                </w:r>
              </w:p>
            </w:txbxContent>
          </v:textbox>
        </v:shape>
      </w:pict>
    </w:r>
  </w:p>
  <w:p>
    <w:pPr>
      <w:pStyle w:val="17"/>
      <w:pBdr>
        <w:bottom w:val="none" w:color="auto" w:sz="0" w:space="0"/>
      </w:pBdr>
      <w:tabs>
        <w:tab w:val="right" w:pos="8728"/>
        <w:tab w:val="clear" w:pos="4153"/>
        <w:tab w:val="clear" w:pos="8306"/>
      </w:tabs>
      <w:ind w:left="0" w:right="343" w:firstLine="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6547C"/>
    <w:multiLevelType w:val="singleLevel"/>
    <w:tmpl w:val="B3F6547C"/>
    <w:lvl w:ilvl="0" w:tentative="0">
      <w:start w:val="1"/>
      <w:numFmt w:val="decimal"/>
      <w:lvlText w:val="%1."/>
      <w:lvlJc w:val="left"/>
      <w:pPr>
        <w:tabs>
          <w:tab w:val="left" w:pos="312"/>
        </w:tabs>
      </w:pPr>
    </w:lvl>
  </w:abstractNum>
  <w:abstractNum w:abstractNumId="1">
    <w:nsid w:val="33710391"/>
    <w:multiLevelType w:val="singleLevel"/>
    <w:tmpl w:val="33710391"/>
    <w:lvl w:ilvl="0" w:tentative="0">
      <w:start w:val="1"/>
      <w:numFmt w:val="decimal"/>
      <w:lvlText w:val="(%1)"/>
      <w:lvlJc w:val="left"/>
      <w:pPr>
        <w:tabs>
          <w:tab w:val="left" w:pos="312"/>
        </w:tabs>
      </w:pPr>
    </w:lvl>
  </w:abstractNum>
  <w:abstractNum w:abstractNumId="2">
    <w:nsid w:val="4E748751"/>
    <w:multiLevelType w:val="singleLevel"/>
    <w:tmpl w:val="4E748751"/>
    <w:lvl w:ilvl="0" w:tentative="0">
      <w:start w:val="4"/>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hmZWUyMGMyYTBjOThkNzkwM2YyNDY3YjE3ODA0NWYifQ=="/>
  </w:docVars>
  <w:rsids>
    <w:rsidRoot w:val="00172A27"/>
    <w:rsid w:val="00000139"/>
    <w:rsid w:val="000006DE"/>
    <w:rsid w:val="00001B46"/>
    <w:rsid w:val="000045EA"/>
    <w:rsid w:val="00004801"/>
    <w:rsid w:val="00005BC0"/>
    <w:rsid w:val="000115AE"/>
    <w:rsid w:val="000120A3"/>
    <w:rsid w:val="000143B4"/>
    <w:rsid w:val="00022F88"/>
    <w:rsid w:val="000238DA"/>
    <w:rsid w:val="000339D6"/>
    <w:rsid w:val="00036327"/>
    <w:rsid w:val="000437E6"/>
    <w:rsid w:val="00043E88"/>
    <w:rsid w:val="0005620A"/>
    <w:rsid w:val="00070470"/>
    <w:rsid w:val="00073A47"/>
    <w:rsid w:val="00074337"/>
    <w:rsid w:val="00074FEA"/>
    <w:rsid w:val="000772B4"/>
    <w:rsid w:val="0008222E"/>
    <w:rsid w:val="00084376"/>
    <w:rsid w:val="00092270"/>
    <w:rsid w:val="00095C97"/>
    <w:rsid w:val="000970C4"/>
    <w:rsid w:val="000A1767"/>
    <w:rsid w:val="000A5DBD"/>
    <w:rsid w:val="000A6A33"/>
    <w:rsid w:val="000A7D90"/>
    <w:rsid w:val="000B34C7"/>
    <w:rsid w:val="000B556B"/>
    <w:rsid w:val="000C1668"/>
    <w:rsid w:val="000C20C1"/>
    <w:rsid w:val="000C5057"/>
    <w:rsid w:val="000C53FF"/>
    <w:rsid w:val="000C56A1"/>
    <w:rsid w:val="000C64B2"/>
    <w:rsid w:val="000C68D6"/>
    <w:rsid w:val="000D2B9F"/>
    <w:rsid w:val="000D3045"/>
    <w:rsid w:val="000D71BC"/>
    <w:rsid w:val="000E072A"/>
    <w:rsid w:val="000E391E"/>
    <w:rsid w:val="000F2AE7"/>
    <w:rsid w:val="000F6EB3"/>
    <w:rsid w:val="00103D0C"/>
    <w:rsid w:val="00110AED"/>
    <w:rsid w:val="0011106B"/>
    <w:rsid w:val="001207B4"/>
    <w:rsid w:val="00127C78"/>
    <w:rsid w:val="001315CE"/>
    <w:rsid w:val="00131A69"/>
    <w:rsid w:val="00132808"/>
    <w:rsid w:val="00135B62"/>
    <w:rsid w:val="00136FF6"/>
    <w:rsid w:val="00142C19"/>
    <w:rsid w:val="001519EA"/>
    <w:rsid w:val="001520D4"/>
    <w:rsid w:val="00152EE2"/>
    <w:rsid w:val="00155FD4"/>
    <w:rsid w:val="001571D7"/>
    <w:rsid w:val="00157C2A"/>
    <w:rsid w:val="0016302D"/>
    <w:rsid w:val="00165B45"/>
    <w:rsid w:val="0017175E"/>
    <w:rsid w:val="00172A27"/>
    <w:rsid w:val="0017654C"/>
    <w:rsid w:val="001779FB"/>
    <w:rsid w:val="001804A3"/>
    <w:rsid w:val="00184CC9"/>
    <w:rsid w:val="00186A28"/>
    <w:rsid w:val="001918D7"/>
    <w:rsid w:val="0019765F"/>
    <w:rsid w:val="001A1456"/>
    <w:rsid w:val="001A37D3"/>
    <w:rsid w:val="001A3A55"/>
    <w:rsid w:val="001A3FCA"/>
    <w:rsid w:val="001A6500"/>
    <w:rsid w:val="001B0893"/>
    <w:rsid w:val="001B11DF"/>
    <w:rsid w:val="001B1B79"/>
    <w:rsid w:val="001B223C"/>
    <w:rsid w:val="001B2E3B"/>
    <w:rsid w:val="001B51D5"/>
    <w:rsid w:val="001B5330"/>
    <w:rsid w:val="001C0C50"/>
    <w:rsid w:val="001C19C3"/>
    <w:rsid w:val="001C3B7B"/>
    <w:rsid w:val="001D1808"/>
    <w:rsid w:val="001D2C7F"/>
    <w:rsid w:val="001D510A"/>
    <w:rsid w:val="001D6B1F"/>
    <w:rsid w:val="001D766B"/>
    <w:rsid w:val="001E0D82"/>
    <w:rsid w:val="001E5985"/>
    <w:rsid w:val="001E5F4A"/>
    <w:rsid w:val="002041A6"/>
    <w:rsid w:val="00206D2E"/>
    <w:rsid w:val="00212F09"/>
    <w:rsid w:val="00213E3A"/>
    <w:rsid w:val="00215CB0"/>
    <w:rsid w:val="00222D88"/>
    <w:rsid w:val="0022399C"/>
    <w:rsid w:val="00226768"/>
    <w:rsid w:val="00226771"/>
    <w:rsid w:val="00226B2E"/>
    <w:rsid w:val="00226D0E"/>
    <w:rsid w:val="002340C4"/>
    <w:rsid w:val="0023567E"/>
    <w:rsid w:val="00237A98"/>
    <w:rsid w:val="0024287B"/>
    <w:rsid w:val="0024433D"/>
    <w:rsid w:val="0024741B"/>
    <w:rsid w:val="002478B2"/>
    <w:rsid w:val="0025005B"/>
    <w:rsid w:val="0025104D"/>
    <w:rsid w:val="0025319C"/>
    <w:rsid w:val="00260E41"/>
    <w:rsid w:val="00261C93"/>
    <w:rsid w:val="00272F80"/>
    <w:rsid w:val="0027764C"/>
    <w:rsid w:val="00282970"/>
    <w:rsid w:val="00295B46"/>
    <w:rsid w:val="002A7E8A"/>
    <w:rsid w:val="002B1272"/>
    <w:rsid w:val="002B1720"/>
    <w:rsid w:val="002B2AC2"/>
    <w:rsid w:val="002B2D2A"/>
    <w:rsid w:val="002B522E"/>
    <w:rsid w:val="002B68A4"/>
    <w:rsid w:val="002C556E"/>
    <w:rsid w:val="002C5B0F"/>
    <w:rsid w:val="002C6FCC"/>
    <w:rsid w:val="002C7B9E"/>
    <w:rsid w:val="002D23D9"/>
    <w:rsid w:val="002D2931"/>
    <w:rsid w:val="002D538B"/>
    <w:rsid w:val="002D6D0E"/>
    <w:rsid w:val="002E0047"/>
    <w:rsid w:val="002E1151"/>
    <w:rsid w:val="002E190D"/>
    <w:rsid w:val="002E4990"/>
    <w:rsid w:val="002E53D3"/>
    <w:rsid w:val="00301A97"/>
    <w:rsid w:val="00302B1E"/>
    <w:rsid w:val="0030553A"/>
    <w:rsid w:val="00306840"/>
    <w:rsid w:val="00307BE7"/>
    <w:rsid w:val="00307F87"/>
    <w:rsid w:val="00310580"/>
    <w:rsid w:val="00310624"/>
    <w:rsid w:val="00312BAB"/>
    <w:rsid w:val="00314955"/>
    <w:rsid w:val="00320505"/>
    <w:rsid w:val="003207F4"/>
    <w:rsid w:val="00321E2F"/>
    <w:rsid w:val="00322A97"/>
    <w:rsid w:val="003257EF"/>
    <w:rsid w:val="00330D78"/>
    <w:rsid w:val="0033273F"/>
    <w:rsid w:val="00333FA3"/>
    <w:rsid w:val="003354EE"/>
    <w:rsid w:val="00335AAA"/>
    <w:rsid w:val="00337C6A"/>
    <w:rsid w:val="003464E7"/>
    <w:rsid w:val="00347281"/>
    <w:rsid w:val="00354E36"/>
    <w:rsid w:val="003568E4"/>
    <w:rsid w:val="003712A4"/>
    <w:rsid w:val="00374E80"/>
    <w:rsid w:val="00381B3A"/>
    <w:rsid w:val="003841EC"/>
    <w:rsid w:val="00391510"/>
    <w:rsid w:val="00392230"/>
    <w:rsid w:val="00395A23"/>
    <w:rsid w:val="003A0C71"/>
    <w:rsid w:val="003A170B"/>
    <w:rsid w:val="003A3181"/>
    <w:rsid w:val="003A7F1A"/>
    <w:rsid w:val="003B097F"/>
    <w:rsid w:val="003B2656"/>
    <w:rsid w:val="003B43D3"/>
    <w:rsid w:val="003B51BE"/>
    <w:rsid w:val="003B6467"/>
    <w:rsid w:val="003B6BE9"/>
    <w:rsid w:val="003C14B2"/>
    <w:rsid w:val="003C312A"/>
    <w:rsid w:val="003C4653"/>
    <w:rsid w:val="003C46A0"/>
    <w:rsid w:val="003D0506"/>
    <w:rsid w:val="003D35E6"/>
    <w:rsid w:val="003D3A75"/>
    <w:rsid w:val="003E0A3B"/>
    <w:rsid w:val="003E2A71"/>
    <w:rsid w:val="003E302E"/>
    <w:rsid w:val="003E5FFE"/>
    <w:rsid w:val="003E63F9"/>
    <w:rsid w:val="003E79A9"/>
    <w:rsid w:val="003F1903"/>
    <w:rsid w:val="003F2270"/>
    <w:rsid w:val="003F2B7A"/>
    <w:rsid w:val="003F5657"/>
    <w:rsid w:val="00403B79"/>
    <w:rsid w:val="004043A2"/>
    <w:rsid w:val="00410B56"/>
    <w:rsid w:val="00411473"/>
    <w:rsid w:val="00412A48"/>
    <w:rsid w:val="00414B71"/>
    <w:rsid w:val="00417574"/>
    <w:rsid w:val="0042215D"/>
    <w:rsid w:val="00425172"/>
    <w:rsid w:val="00430F30"/>
    <w:rsid w:val="0043285C"/>
    <w:rsid w:val="00435A2E"/>
    <w:rsid w:val="00440F9A"/>
    <w:rsid w:val="00441242"/>
    <w:rsid w:val="00441D81"/>
    <w:rsid w:val="00443944"/>
    <w:rsid w:val="00443ADE"/>
    <w:rsid w:val="00457F8E"/>
    <w:rsid w:val="00467F25"/>
    <w:rsid w:val="004726D7"/>
    <w:rsid w:val="00476A5F"/>
    <w:rsid w:val="00476FBE"/>
    <w:rsid w:val="00483264"/>
    <w:rsid w:val="00483F83"/>
    <w:rsid w:val="0048480C"/>
    <w:rsid w:val="00491BE5"/>
    <w:rsid w:val="004A09C3"/>
    <w:rsid w:val="004A0D30"/>
    <w:rsid w:val="004A2B0A"/>
    <w:rsid w:val="004A2BCE"/>
    <w:rsid w:val="004B1E96"/>
    <w:rsid w:val="004B508D"/>
    <w:rsid w:val="004B62C0"/>
    <w:rsid w:val="004C181E"/>
    <w:rsid w:val="004C220C"/>
    <w:rsid w:val="004C7017"/>
    <w:rsid w:val="004D1018"/>
    <w:rsid w:val="004D4480"/>
    <w:rsid w:val="004D449E"/>
    <w:rsid w:val="004D6591"/>
    <w:rsid w:val="004E0581"/>
    <w:rsid w:val="004E12DE"/>
    <w:rsid w:val="004E38A3"/>
    <w:rsid w:val="004E61BF"/>
    <w:rsid w:val="004F5188"/>
    <w:rsid w:val="004F6E95"/>
    <w:rsid w:val="0050004B"/>
    <w:rsid w:val="00505261"/>
    <w:rsid w:val="00510E4D"/>
    <w:rsid w:val="005121F7"/>
    <w:rsid w:val="00512A45"/>
    <w:rsid w:val="00516062"/>
    <w:rsid w:val="0052634A"/>
    <w:rsid w:val="005300D9"/>
    <w:rsid w:val="00531FB6"/>
    <w:rsid w:val="00541401"/>
    <w:rsid w:val="0054269C"/>
    <w:rsid w:val="00545844"/>
    <w:rsid w:val="00553206"/>
    <w:rsid w:val="00554A15"/>
    <w:rsid w:val="0056176A"/>
    <w:rsid w:val="005620D5"/>
    <w:rsid w:val="005623FC"/>
    <w:rsid w:val="005628A3"/>
    <w:rsid w:val="00564C20"/>
    <w:rsid w:val="00565692"/>
    <w:rsid w:val="00571527"/>
    <w:rsid w:val="00571A40"/>
    <w:rsid w:val="005722B8"/>
    <w:rsid w:val="00574C3B"/>
    <w:rsid w:val="0057690D"/>
    <w:rsid w:val="005776E2"/>
    <w:rsid w:val="0058531C"/>
    <w:rsid w:val="005878F5"/>
    <w:rsid w:val="00591A8D"/>
    <w:rsid w:val="005929C4"/>
    <w:rsid w:val="00594A48"/>
    <w:rsid w:val="005A067F"/>
    <w:rsid w:val="005A2E67"/>
    <w:rsid w:val="005A744C"/>
    <w:rsid w:val="005C5B0E"/>
    <w:rsid w:val="005C6066"/>
    <w:rsid w:val="005E2239"/>
    <w:rsid w:val="005E5912"/>
    <w:rsid w:val="005F2C46"/>
    <w:rsid w:val="005F5B89"/>
    <w:rsid w:val="005F629D"/>
    <w:rsid w:val="006007BC"/>
    <w:rsid w:val="00601544"/>
    <w:rsid w:val="006061B3"/>
    <w:rsid w:val="00612742"/>
    <w:rsid w:val="00612869"/>
    <w:rsid w:val="006155EE"/>
    <w:rsid w:val="006200D4"/>
    <w:rsid w:val="00622520"/>
    <w:rsid w:val="00626EE5"/>
    <w:rsid w:val="006279E7"/>
    <w:rsid w:val="006314AB"/>
    <w:rsid w:val="0063200D"/>
    <w:rsid w:val="00634596"/>
    <w:rsid w:val="00642B95"/>
    <w:rsid w:val="0064747F"/>
    <w:rsid w:val="006513D9"/>
    <w:rsid w:val="0065460D"/>
    <w:rsid w:val="00655DC7"/>
    <w:rsid w:val="0066074D"/>
    <w:rsid w:val="006679DC"/>
    <w:rsid w:val="00670400"/>
    <w:rsid w:val="006721F0"/>
    <w:rsid w:val="006724B7"/>
    <w:rsid w:val="00675633"/>
    <w:rsid w:val="00676114"/>
    <w:rsid w:val="00677A8A"/>
    <w:rsid w:val="00680D3E"/>
    <w:rsid w:val="006922EC"/>
    <w:rsid w:val="00693550"/>
    <w:rsid w:val="006A2F07"/>
    <w:rsid w:val="006A543A"/>
    <w:rsid w:val="006B1C6E"/>
    <w:rsid w:val="006B1E43"/>
    <w:rsid w:val="006B6CC3"/>
    <w:rsid w:val="006B6F3C"/>
    <w:rsid w:val="006C2617"/>
    <w:rsid w:val="006C48FB"/>
    <w:rsid w:val="006C5C48"/>
    <w:rsid w:val="006C7759"/>
    <w:rsid w:val="006D4F78"/>
    <w:rsid w:val="006E43E8"/>
    <w:rsid w:val="006E6887"/>
    <w:rsid w:val="006F152F"/>
    <w:rsid w:val="006F48AD"/>
    <w:rsid w:val="006F495B"/>
    <w:rsid w:val="006F4D15"/>
    <w:rsid w:val="006F629E"/>
    <w:rsid w:val="006F7B5A"/>
    <w:rsid w:val="00703F0B"/>
    <w:rsid w:val="007076B1"/>
    <w:rsid w:val="007108E7"/>
    <w:rsid w:val="0071330B"/>
    <w:rsid w:val="007145D4"/>
    <w:rsid w:val="00722FCE"/>
    <w:rsid w:val="007253CF"/>
    <w:rsid w:val="007258A2"/>
    <w:rsid w:val="007310EF"/>
    <w:rsid w:val="007345D7"/>
    <w:rsid w:val="00735BD4"/>
    <w:rsid w:val="00737A61"/>
    <w:rsid w:val="00745129"/>
    <w:rsid w:val="007453BC"/>
    <w:rsid w:val="00746820"/>
    <w:rsid w:val="00746901"/>
    <w:rsid w:val="00753BFC"/>
    <w:rsid w:val="007563AF"/>
    <w:rsid w:val="00770B3F"/>
    <w:rsid w:val="007771E9"/>
    <w:rsid w:val="00783A21"/>
    <w:rsid w:val="00785F88"/>
    <w:rsid w:val="0078617B"/>
    <w:rsid w:val="00792362"/>
    <w:rsid w:val="007A04DC"/>
    <w:rsid w:val="007A2EB0"/>
    <w:rsid w:val="007B09D3"/>
    <w:rsid w:val="007C15ED"/>
    <w:rsid w:val="007C2CCC"/>
    <w:rsid w:val="007C45B2"/>
    <w:rsid w:val="007C4E58"/>
    <w:rsid w:val="007C65FD"/>
    <w:rsid w:val="007C686F"/>
    <w:rsid w:val="007D2FAE"/>
    <w:rsid w:val="007D399D"/>
    <w:rsid w:val="007D59AF"/>
    <w:rsid w:val="007D7AF4"/>
    <w:rsid w:val="007E1085"/>
    <w:rsid w:val="007E17E5"/>
    <w:rsid w:val="007E399F"/>
    <w:rsid w:val="007F00A8"/>
    <w:rsid w:val="007F27CB"/>
    <w:rsid w:val="007F3C0E"/>
    <w:rsid w:val="007F4496"/>
    <w:rsid w:val="007F7E29"/>
    <w:rsid w:val="00802CA1"/>
    <w:rsid w:val="00803C1E"/>
    <w:rsid w:val="00810B98"/>
    <w:rsid w:val="0081164E"/>
    <w:rsid w:val="008129E4"/>
    <w:rsid w:val="00816129"/>
    <w:rsid w:val="008177BD"/>
    <w:rsid w:val="008200A0"/>
    <w:rsid w:val="008306D9"/>
    <w:rsid w:val="008347F7"/>
    <w:rsid w:val="0083668C"/>
    <w:rsid w:val="00840E0D"/>
    <w:rsid w:val="00842287"/>
    <w:rsid w:val="008441A7"/>
    <w:rsid w:val="00852E6A"/>
    <w:rsid w:val="00861DAB"/>
    <w:rsid w:val="00867122"/>
    <w:rsid w:val="0086730C"/>
    <w:rsid w:val="0088026D"/>
    <w:rsid w:val="00881EB7"/>
    <w:rsid w:val="00883B9F"/>
    <w:rsid w:val="0088570D"/>
    <w:rsid w:val="00885D87"/>
    <w:rsid w:val="00890F17"/>
    <w:rsid w:val="00891420"/>
    <w:rsid w:val="008918AC"/>
    <w:rsid w:val="0089407F"/>
    <w:rsid w:val="008A28B8"/>
    <w:rsid w:val="008A58C4"/>
    <w:rsid w:val="008A7DA5"/>
    <w:rsid w:val="008A7F2F"/>
    <w:rsid w:val="008B0302"/>
    <w:rsid w:val="008B224C"/>
    <w:rsid w:val="008B396C"/>
    <w:rsid w:val="008B4FD4"/>
    <w:rsid w:val="008D226A"/>
    <w:rsid w:val="008D2976"/>
    <w:rsid w:val="008D63B2"/>
    <w:rsid w:val="008E2ED4"/>
    <w:rsid w:val="008E500C"/>
    <w:rsid w:val="008F1E70"/>
    <w:rsid w:val="008F34B7"/>
    <w:rsid w:val="008F720F"/>
    <w:rsid w:val="00901D6C"/>
    <w:rsid w:val="009031CE"/>
    <w:rsid w:val="00904592"/>
    <w:rsid w:val="009061D8"/>
    <w:rsid w:val="00906622"/>
    <w:rsid w:val="00906D34"/>
    <w:rsid w:val="009120C7"/>
    <w:rsid w:val="00915EC5"/>
    <w:rsid w:val="00916179"/>
    <w:rsid w:val="009230C1"/>
    <w:rsid w:val="00925337"/>
    <w:rsid w:val="00931174"/>
    <w:rsid w:val="00932655"/>
    <w:rsid w:val="00934E94"/>
    <w:rsid w:val="0094110B"/>
    <w:rsid w:val="00941BFA"/>
    <w:rsid w:val="00947B04"/>
    <w:rsid w:val="00953591"/>
    <w:rsid w:val="00956B8E"/>
    <w:rsid w:val="00957AA0"/>
    <w:rsid w:val="009604CB"/>
    <w:rsid w:val="00971B94"/>
    <w:rsid w:val="00971E9C"/>
    <w:rsid w:val="00974299"/>
    <w:rsid w:val="0097464F"/>
    <w:rsid w:val="00975B51"/>
    <w:rsid w:val="009831EF"/>
    <w:rsid w:val="009900B7"/>
    <w:rsid w:val="00993F46"/>
    <w:rsid w:val="009A3D14"/>
    <w:rsid w:val="009A6B89"/>
    <w:rsid w:val="009A79AB"/>
    <w:rsid w:val="009A7B76"/>
    <w:rsid w:val="009B0988"/>
    <w:rsid w:val="009B1032"/>
    <w:rsid w:val="009C5AC1"/>
    <w:rsid w:val="009D3453"/>
    <w:rsid w:val="009E1329"/>
    <w:rsid w:val="009E28E5"/>
    <w:rsid w:val="009E704D"/>
    <w:rsid w:val="009F0D42"/>
    <w:rsid w:val="009F214A"/>
    <w:rsid w:val="009F374F"/>
    <w:rsid w:val="009F588C"/>
    <w:rsid w:val="00A02C14"/>
    <w:rsid w:val="00A0539D"/>
    <w:rsid w:val="00A06D1F"/>
    <w:rsid w:val="00A114CD"/>
    <w:rsid w:val="00A11C4E"/>
    <w:rsid w:val="00A11C51"/>
    <w:rsid w:val="00A1337E"/>
    <w:rsid w:val="00A15285"/>
    <w:rsid w:val="00A174BC"/>
    <w:rsid w:val="00A20F51"/>
    <w:rsid w:val="00A26EF5"/>
    <w:rsid w:val="00A36E4E"/>
    <w:rsid w:val="00A46145"/>
    <w:rsid w:val="00A50B31"/>
    <w:rsid w:val="00A54F86"/>
    <w:rsid w:val="00A57A9E"/>
    <w:rsid w:val="00A722C5"/>
    <w:rsid w:val="00A7596B"/>
    <w:rsid w:val="00A7654D"/>
    <w:rsid w:val="00A81840"/>
    <w:rsid w:val="00A826E0"/>
    <w:rsid w:val="00A83C5F"/>
    <w:rsid w:val="00A84199"/>
    <w:rsid w:val="00A859DC"/>
    <w:rsid w:val="00A86C9D"/>
    <w:rsid w:val="00A91F36"/>
    <w:rsid w:val="00A93A7F"/>
    <w:rsid w:val="00A975BA"/>
    <w:rsid w:val="00AA0163"/>
    <w:rsid w:val="00AA02D5"/>
    <w:rsid w:val="00AA292D"/>
    <w:rsid w:val="00AB2669"/>
    <w:rsid w:val="00AB6B27"/>
    <w:rsid w:val="00AD16CC"/>
    <w:rsid w:val="00AD379C"/>
    <w:rsid w:val="00AD6012"/>
    <w:rsid w:val="00AE2C17"/>
    <w:rsid w:val="00AE4245"/>
    <w:rsid w:val="00AE5333"/>
    <w:rsid w:val="00AF196A"/>
    <w:rsid w:val="00AF2ECD"/>
    <w:rsid w:val="00AF3F21"/>
    <w:rsid w:val="00AF54E1"/>
    <w:rsid w:val="00AF7EF6"/>
    <w:rsid w:val="00B00947"/>
    <w:rsid w:val="00B039F2"/>
    <w:rsid w:val="00B04E81"/>
    <w:rsid w:val="00B14898"/>
    <w:rsid w:val="00B14E6B"/>
    <w:rsid w:val="00B17327"/>
    <w:rsid w:val="00B25335"/>
    <w:rsid w:val="00B402F4"/>
    <w:rsid w:val="00B403AD"/>
    <w:rsid w:val="00B457D5"/>
    <w:rsid w:val="00B47764"/>
    <w:rsid w:val="00B4784E"/>
    <w:rsid w:val="00B52051"/>
    <w:rsid w:val="00B52D63"/>
    <w:rsid w:val="00B55716"/>
    <w:rsid w:val="00B5615C"/>
    <w:rsid w:val="00B56E09"/>
    <w:rsid w:val="00B570E3"/>
    <w:rsid w:val="00B60776"/>
    <w:rsid w:val="00B76461"/>
    <w:rsid w:val="00B80D2F"/>
    <w:rsid w:val="00B909B0"/>
    <w:rsid w:val="00B90EB4"/>
    <w:rsid w:val="00B911A5"/>
    <w:rsid w:val="00B9328B"/>
    <w:rsid w:val="00B97802"/>
    <w:rsid w:val="00BA3124"/>
    <w:rsid w:val="00BA37AA"/>
    <w:rsid w:val="00BA3F95"/>
    <w:rsid w:val="00BA473B"/>
    <w:rsid w:val="00BA5B4B"/>
    <w:rsid w:val="00BB2B84"/>
    <w:rsid w:val="00BB3F06"/>
    <w:rsid w:val="00BD1A43"/>
    <w:rsid w:val="00BD2100"/>
    <w:rsid w:val="00BD389A"/>
    <w:rsid w:val="00BD69CD"/>
    <w:rsid w:val="00BD7429"/>
    <w:rsid w:val="00BE2F9C"/>
    <w:rsid w:val="00BE3C03"/>
    <w:rsid w:val="00BE4EE5"/>
    <w:rsid w:val="00BE6E33"/>
    <w:rsid w:val="00BF1E79"/>
    <w:rsid w:val="00BF34CE"/>
    <w:rsid w:val="00BF3812"/>
    <w:rsid w:val="00BF4099"/>
    <w:rsid w:val="00BF4795"/>
    <w:rsid w:val="00BF7BE7"/>
    <w:rsid w:val="00C0137F"/>
    <w:rsid w:val="00C07A4F"/>
    <w:rsid w:val="00C11FC4"/>
    <w:rsid w:val="00C16F2A"/>
    <w:rsid w:val="00C17B8D"/>
    <w:rsid w:val="00C244BA"/>
    <w:rsid w:val="00C25222"/>
    <w:rsid w:val="00C254EC"/>
    <w:rsid w:val="00C25AD7"/>
    <w:rsid w:val="00C27A09"/>
    <w:rsid w:val="00C309BF"/>
    <w:rsid w:val="00C3605A"/>
    <w:rsid w:val="00C3727C"/>
    <w:rsid w:val="00C377F4"/>
    <w:rsid w:val="00C4070E"/>
    <w:rsid w:val="00C43F1B"/>
    <w:rsid w:val="00C445B6"/>
    <w:rsid w:val="00C44BE4"/>
    <w:rsid w:val="00C44D65"/>
    <w:rsid w:val="00C45F5E"/>
    <w:rsid w:val="00C46568"/>
    <w:rsid w:val="00C524FA"/>
    <w:rsid w:val="00C557E5"/>
    <w:rsid w:val="00C60519"/>
    <w:rsid w:val="00C636A8"/>
    <w:rsid w:val="00C64C38"/>
    <w:rsid w:val="00C66C46"/>
    <w:rsid w:val="00C71AAD"/>
    <w:rsid w:val="00C7432E"/>
    <w:rsid w:val="00C76FE6"/>
    <w:rsid w:val="00C808DC"/>
    <w:rsid w:val="00C8124B"/>
    <w:rsid w:val="00C82642"/>
    <w:rsid w:val="00C91765"/>
    <w:rsid w:val="00C96651"/>
    <w:rsid w:val="00CA3A90"/>
    <w:rsid w:val="00CA3F44"/>
    <w:rsid w:val="00CA4DB7"/>
    <w:rsid w:val="00CA6CAC"/>
    <w:rsid w:val="00CA6EB8"/>
    <w:rsid w:val="00CA780A"/>
    <w:rsid w:val="00CB3033"/>
    <w:rsid w:val="00CB3C9F"/>
    <w:rsid w:val="00CB5F47"/>
    <w:rsid w:val="00CB62C1"/>
    <w:rsid w:val="00CC18DB"/>
    <w:rsid w:val="00CC46A2"/>
    <w:rsid w:val="00CC6D92"/>
    <w:rsid w:val="00CD29FB"/>
    <w:rsid w:val="00CD2E23"/>
    <w:rsid w:val="00CD39CB"/>
    <w:rsid w:val="00CD642A"/>
    <w:rsid w:val="00CE01EF"/>
    <w:rsid w:val="00CE15CA"/>
    <w:rsid w:val="00CE3333"/>
    <w:rsid w:val="00CE413B"/>
    <w:rsid w:val="00CE5A2A"/>
    <w:rsid w:val="00CF001A"/>
    <w:rsid w:val="00CF0449"/>
    <w:rsid w:val="00CF1ED9"/>
    <w:rsid w:val="00CF355D"/>
    <w:rsid w:val="00CF6341"/>
    <w:rsid w:val="00CF6D9F"/>
    <w:rsid w:val="00D019EB"/>
    <w:rsid w:val="00D0202D"/>
    <w:rsid w:val="00D1167E"/>
    <w:rsid w:val="00D13CEB"/>
    <w:rsid w:val="00D1571D"/>
    <w:rsid w:val="00D21E36"/>
    <w:rsid w:val="00D2321E"/>
    <w:rsid w:val="00D23242"/>
    <w:rsid w:val="00D23492"/>
    <w:rsid w:val="00D238D1"/>
    <w:rsid w:val="00D23FA4"/>
    <w:rsid w:val="00D252E4"/>
    <w:rsid w:val="00D26520"/>
    <w:rsid w:val="00D26773"/>
    <w:rsid w:val="00D277F8"/>
    <w:rsid w:val="00D300DD"/>
    <w:rsid w:val="00D37A05"/>
    <w:rsid w:val="00D41967"/>
    <w:rsid w:val="00D42873"/>
    <w:rsid w:val="00D479CD"/>
    <w:rsid w:val="00D70859"/>
    <w:rsid w:val="00D743C8"/>
    <w:rsid w:val="00D829D0"/>
    <w:rsid w:val="00D841A1"/>
    <w:rsid w:val="00D8575B"/>
    <w:rsid w:val="00D92C17"/>
    <w:rsid w:val="00D930BB"/>
    <w:rsid w:val="00D93779"/>
    <w:rsid w:val="00D95A4C"/>
    <w:rsid w:val="00DA07D4"/>
    <w:rsid w:val="00DA6C4F"/>
    <w:rsid w:val="00DA6D90"/>
    <w:rsid w:val="00DB02BD"/>
    <w:rsid w:val="00DB181C"/>
    <w:rsid w:val="00DC21C4"/>
    <w:rsid w:val="00DC57D9"/>
    <w:rsid w:val="00DD0653"/>
    <w:rsid w:val="00DD4979"/>
    <w:rsid w:val="00DE0420"/>
    <w:rsid w:val="00DE0B21"/>
    <w:rsid w:val="00DE249D"/>
    <w:rsid w:val="00DE2C85"/>
    <w:rsid w:val="00DE2F1B"/>
    <w:rsid w:val="00DE345F"/>
    <w:rsid w:val="00DE415B"/>
    <w:rsid w:val="00DE6344"/>
    <w:rsid w:val="00DF14BB"/>
    <w:rsid w:val="00DF4D3D"/>
    <w:rsid w:val="00DF799A"/>
    <w:rsid w:val="00E0139F"/>
    <w:rsid w:val="00E04742"/>
    <w:rsid w:val="00E04F5E"/>
    <w:rsid w:val="00E167F2"/>
    <w:rsid w:val="00E255AC"/>
    <w:rsid w:val="00E26053"/>
    <w:rsid w:val="00E27A29"/>
    <w:rsid w:val="00E33009"/>
    <w:rsid w:val="00E33B9F"/>
    <w:rsid w:val="00E447F5"/>
    <w:rsid w:val="00E449D8"/>
    <w:rsid w:val="00E45D74"/>
    <w:rsid w:val="00E46F92"/>
    <w:rsid w:val="00E51F99"/>
    <w:rsid w:val="00E52414"/>
    <w:rsid w:val="00E55177"/>
    <w:rsid w:val="00E57591"/>
    <w:rsid w:val="00E606AF"/>
    <w:rsid w:val="00E65741"/>
    <w:rsid w:val="00E7231E"/>
    <w:rsid w:val="00E72F1F"/>
    <w:rsid w:val="00E74E5E"/>
    <w:rsid w:val="00E763ED"/>
    <w:rsid w:val="00E80C49"/>
    <w:rsid w:val="00E83E57"/>
    <w:rsid w:val="00E8709E"/>
    <w:rsid w:val="00E9013C"/>
    <w:rsid w:val="00E93BCC"/>
    <w:rsid w:val="00E96E54"/>
    <w:rsid w:val="00EA435E"/>
    <w:rsid w:val="00EA77BF"/>
    <w:rsid w:val="00EB33B2"/>
    <w:rsid w:val="00EB3856"/>
    <w:rsid w:val="00EC23AA"/>
    <w:rsid w:val="00EC2D7B"/>
    <w:rsid w:val="00EC7E4D"/>
    <w:rsid w:val="00ED1949"/>
    <w:rsid w:val="00ED5241"/>
    <w:rsid w:val="00ED7DBB"/>
    <w:rsid w:val="00EE337E"/>
    <w:rsid w:val="00EE40A3"/>
    <w:rsid w:val="00EF20F4"/>
    <w:rsid w:val="00EF5BD9"/>
    <w:rsid w:val="00EF6456"/>
    <w:rsid w:val="00F033BD"/>
    <w:rsid w:val="00F03FDC"/>
    <w:rsid w:val="00F046C6"/>
    <w:rsid w:val="00F04816"/>
    <w:rsid w:val="00F07992"/>
    <w:rsid w:val="00F115E5"/>
    <w:rsid w:val="00F13E6A"/>
    <w:rsid w:val="00F1492D"/>
    <w:rsid w:val="00F2140E"/>
    <w:rsid w:val="00F21D8B"/>
    <w:rsid w:val="00F24738"/>
    <w:rsid w:val="00F251C7"/>
    <w:rsid w:val="00F25E61"/>
    <w:rsid w:val="00F260FA"/>
    <w:rsid w:val="00F275D0"/>
    <w:rsid w:val="00F32218"/>
    <w:rsid w:val="00F331FE"/>
    <w:rsid w:val="00F339EA"/>
    <w:rsid w:val="00F344D6"/>
    <w:rsid w:val="00F37250"/>
    <w:rsid w:val="00F3752A"/>
    <w:rsid w:val="00F37E47"/>
    <w:rsid w:val="00F41ABA"/>
    <w:rsid w:val="00F42F17"/>
    <w:rsid w:val="00F43D41"/>
    <w:rsid w:val="00F46E15"/>
    <w:rsid w:val="00F60226"/>
    <w:rsid w:val="00F603CC"/>
    <w:rsid w:val="00F65540"/>
    <w:rsid w:val="00F831B3"/>
    <w:rsid w:val="00F8733F"/>
    <w:rsid w:val="00F94057"/>
    <w:rsid w:val="00F94095"/>
    <w:rsid w:val="00FA55F1"/>
    <w:rsid w:val="00FB3AAB"/>
    <w:rsid w:val="00FB6078"/>
    <w:rsid w:val="00FC02B4"/>
    <w:rsid w:val="00FC0782"/>
    <w:rsid w:val="00FD1370"/>
    <w:rsid w:val="00FD5F55"/>
    <w:rsid w:val="00FE29B4"/>
    <w:rsid w:val="00FE3364"/>
    <w:rsid w:val="00FE411B"/>
    <w:rsid w:val="00FE6711"/>
    <w:rsid w:val="00FE7F30"/>
    <w:rsid w:val="00FF09DD"/>
    <w:rsid w:val="00FF2D5E"/>
    <w:rsid w:val="00FF3FB5"/>
    <w:rsid w:val="00FF4DC8"/>
    <w:rsid w:val="010B78A3"/>
    <w:rsid w:val="01490907"/>
    <w:rsid w:val="016E4A12"/>
    <w:rsid w:val="017A5B33"/>
    <w:rsid w:val="019329A5"/>
    <w:rsid w:val="01962088"/>
    <w:rsid w:val="01A35E93"/>
    <w:rsid w:val="01CA3F1A"/>
    <w:rsid w:val="01D2292F"/>
    <w:rsid w:val="01EA65E6"/>
    <w:rsid w:val="021167CD"/>
    <w:rsid w:val="021D382B"/>
    <w:rsid w:val="0227161E"/>
    <w:rsid w:val="02283B66"/>
    <w:rsid w:val="022A12BB"/>
    <w:rsid w:val="022A12F1"/>
    <w:rsid w:val="022B6F07"/>
    <w:rsid w:val="02BD13FE"/>
    <w:rsid w:val="02E23B50"/>
    <w:rsid w:val="032019A1"/>
    <w:rsid w:val="03282608"/>
    <w:rsid w:val="035C25D6"/>
    <w:rsid w:val="035D3B10"/>
    <w:rsid w:val="03707484"/>
    <w:rsid w:val="03F66836"/>
    <w:rsid w:val="042D561D"/>
    <w:rsid w:val="0430243C"/>
    <w:rsid w:val="04424776"/>
    <w:rsid w:val="04426FFE"/>
    <w:rsid w:val="04587CB5"/>
    <w:rsid w:val="0471485E"/>
    <w:rsid w:val="049E0ADC"/>
    <w:rsid w:val="04C02136"/>
    <w:rsid w:val="04C82C90"/>
    <w:rsid w:val="0512794B"/>
    <w:rsid w:val="051E3A85"/>
    <w:rsid w:val="053F3B79"/>
    <w:rsid w:val="054144F3"/>
    <w:rsid w:val="0542495C"/>
    <w:rsid w:val="05486EA1"/>
    <w:rsid w:val="059F6DBE"/>
    <w:rsid w:val="05A74801"/>
    <w:rsid w:val="05AA06D9"/>
    <w:rsid w:val="05C51951"/>
    <w:rsid w:val="05D2632A"/>
    <w:rsid w:val="060908D8"/>
    <w:rsid w:val="06170E53"/>
    <w:rsid w:val="06186CDF"/>
    <w:rsid w:val="061B4D44"/>
    <w:rsid w:val="068F2B82"/>
    <w:rsid w:val="068F38BB"/>
    <w:rsid w:val="06AB3784"/>
    <w:rsid w:val="06EC1F16"/>
    <w:rsid w:val="0727182A"/>
    <w:rsid w:val="074B0FB9"/>
    <w:rsid w:val="075E4CF7"/>
    <w:rsid w:val="079C212E"/>
    <w:rsid w:val="07AF06E2"/>
    <w:rsid w:val="07B2788E"/>
    <w:rsid w:val="07B3512F"/>
    <w:rsid w:val="07B87DE1"/>
    <w:rsid w:val="07CE0169"/>
    <w:rsid w:val="07D1358A"/>
    <w:rsid w:val="07D55728"/>
    <w:rsid w:val="080B3891"/>
    <w:rsid w:val="083D60DC"/>
    <w:rsid w:val="08411F13"/>
    <w:rsid w:val="0857731D"/>
    <w:rsid w:val="08850322"/>
    <w:rsid w:val="089C5A07"/>
    <w:rsid w:val="08BD0888"/>
    <w:rsid w:val="08C624E5"/>
    <w:rsid w:val="08D553D1"/>
    <w:rsid w:val="090713ED"/>
    <w:rsid w:val="090B00E0"/>
    <w:rsid w:val="0968487A"/>
    <w:rsid w:val="098400D5"/>
    <w:rsid w:val="09CC7181"/>
    <w:rsid w:val="0A042B4D"/>
    <w:rsid w:val="0A0F737A"/>
    <w:rsid w:val="0A39654D"/>
    <w:rsid w:val="0A3B349F"/>
    <w:rsid w:val="0A744159"/>
    <w:rsid w:val="0AF033D2"/>
    <w:rsid w:val="0AF125E1"/>
    <w:rsid w:val="0AF77024"/>
    <w:rsid w:val="0B263B1A"/>
    <w:rsid w:val="0B2E76B2"/>
    <w:rsid w:val="0B8173B9"/>
    <w:rsid w:val="0B9745E7"/>
    <w:rsid w:val="0BB9606D"/>
    <w:rsid w:val="0BDC6BA9"/>
    <w:rsid w:val="0C30706F"/>
    <w:rsid w:val="0C4524F8"/>
    <w:rsid w:val="0C7948C6"/>
    <w:rsid w:val="0C8A2DDA"/>
    <w:rsid w:val="0C9019B8"/>
    <w:rsid w:val="0CA9382E"/>
    <w:rsid w:val="0CAD2393"/>
    <w:rsid w:val="0CD54CD1"/>
    <w:rsid w:val="0D0B713D"/>
    <w:rsid w:val="0D3B34DC"/>
    <w:rsid w:val="0D460BF6"/>
    <w:rsid w:val="0D492590"/>
    <w:rsid w:val="0D597FB1"/>
    <w:rsid w:val="0D6E336B"/>
    <w:rsid w:val="0D722424"/>
    <w:rsid w:val="0D764230"/>
    <w:rsid w:val="0D7A5BE2"/>
    <w:rsid w:val="0D9A4461"/>
    <w:rsid w:val="0E1C0997"/>
    <w:rsid w:val="0E5D30FD"/>
    <w:rsid w:val="0E713FE0"/>
    <w:rsid w:val="0E8A1C02"/>
    <w:rsid w:val="0EEA6355"/>
    <w:rsid w:val="0EF65C98"/>
    <w:rsid w:val="0F2C1D70"/>
    <w:rsid w:val="0F2E3CF1"/>
    <w:rsid w:val="0F3C4509"/>
    <w:rsid w:val="0F44345E"/>
    <w:rsid w:val="0F470958"/>
    <w:rsid w:val="0F672DA8"/>
    <w:rsid w:val="0F865FA4"/>
    <w:rsid w:val="0FA50B8D"/>
    <w:rsid w:val="0FD73E7D"/>
    <w:rsid w:val="104239D8"/>
    <w:rsid w:val="104902C7"/>
    <w:rsid w:val="10652B43"/>
    <w:rsid w:val="10765998"/>
    <w:rsid w:val="10A72DBE"/>
    <w:rsid w:val="10A874AF"/>
    <w:rsid w:val="10AF776A"/>
    <w:rsid w:val="10CF28D9"/>
    <w:rsid w:val="10D07D9F"/>
    <w:rsid w:val="10D534BF"/>
    <w:rsid w:val="10F3733B"/>
    <w:rsid w:val="10FE773C"/>
    <w:rsid w:val="11023273"/>
    <w:rsid w:val="112F2E0D"/>
    <w:rsid w:val="115B2BC2"/>
    <w:rsid w:val="119B5C5B"/>
    <w:rsid w:val="120952CF"/>
    <w:rsid w:val="12161F0C"/>
    <w:rsid w:val="123C06E3"/>
    <w:rsid w:val="124239F1"/>
    <w:rsid w:val="12DA5A69"/>
    <w:rsid w:val="12E806A4"/>
    <w:rsid w:val="12F02051"/>
    <w:rsid w:val="12F072BC"/>
    <w:rsid w:val="12FB43CE"/>
    <w:rsid w:val="130568FD"/>
    <w:rsid w:val="131504A7"/>
    <w:rsid w:val="13620B41"/>
    <w:rsid w:val="136617BC"/>
    <w:rsid w:val="139B0387"/>
    <w:rsid w:val="13B0681A"/>
    <w:rsid w:val="13D2368E"/>
    <w:rsid w:val="13EE02F6"/>
    <w:rsid w:val="14090074"/>
    <w:rsid w:val="142F43C4"/>
    <w:rsid w:val="143C2580"/>
    <w:rsid w:val="144E2788"/>
    <w:rsid w:val="14536ED8"/>
    <w:rsid w:val="146D7300"/>
    <w:rsid w:val="149500AA"/>
    <w:rsid w:val="14AE74DF"/>
    <w:rsid w:val="14C9591E"/>
    <w:rsid w:val="14D62EA9"/>
    <w:rsid w:val="14E36C85"/>
    <w:rsid w:val="151B5E33"/>
    <w:rsid w:val="154E1767"/>
    <w:rsid w:val="15501FFE"/>
    <w:rsid w:val="15A27712"/>
    <w:rsid w:val="15F66EA1"/>
    <w:rsid w:val="15FC391A"/>
    <w:rsid w:val="15FF66D4"/>
    <w:rsid w:val="165046E5"/>
    <w:rsid w:val="165D4F05"/>
    <w:rsid w:val="16625173"/>
    <w:rsid w:val="16944839"/>
    <w:rsid w:val="16C3199E"/>
    <w:rsid w:val="16E475A4"/>
    <w:rsid w:val="16ED01FA"/>
    <w:rsid w:val="16FA505D"/>
    <w:rsid w:val="16FB1BF9"/>
    <w:rsid w:val="172601A7"/>
    <w:rsid w:val="172B142A"/>
    <w:rsid w:val="173B5246"/>
    <w:rsid w:val="173B679D"/>
    <w:rsid w:val="17452B6E"/>
    <w:rsid w:val="174806CD"/>
    <w:rsid w:val="17624D3F"/>
    <w:rsid w:val="178F7074"/>
    <w:rsid w:val="17930F74"/>
    <w:rsid w:val="17AC1CA0"/>
    <w:rsid w:val="17E53456"/>
    <w:rsid w:val="17ED6675"/>
    <w:rsid w:val="17EF691A"/>
    <w:rsid w:val="181957D2"/>
    <w:rsid w:val="18346D11"/>
    <w:rsid w:val="18363DA1"/>
    <w:rsid w:val="18377D80"/>
    <w:rsid w:val="18625FC3"/>
    <w:rsid w:val="189866C8"/>
    <w:rsid w:val="18A62B93"/>
    <w:rsid w:val="18C516A3"/>
    <w:rsid w:val="19063583"/>
    <w:rsid w:val="192E7457"/>
    <w:rsid w:val="19887F74"/>
    <w:rsid w:val="1A137426"/>
    <w:rsid w:val="1A260C2C"/>
    <w:rsid w:val="1A357737"/>
    <w:rsid w:val="1A566099"/>
    <w:rsid w:val="1A612D38"/>
    <w:rsid w:val="1A622AE9"/>
    <w:rsid w:val="1A85513A"/>
    <w:rsid w:val="1A8C69FF"/>
    <w:rsid w:val="1AA91223"/>
    <w:rsid w:val="1AAA5078"/>
    <w:rsid w:val="1ABA5A7E"/>
    <w:rsid w:val="1AE1595C"/>
    <w:rsid w:val="1B251CEE"/>
    <w:rsid w:val="1B707F2F"/>
    <w:rsid w:val="1BB2768B"/>
    <w:rsid w:val="1BE2175F"/>
    <w:rsid w:val="1BF25578"/>
    <w:rsid w:val="1BFD589E"/>
    <w:rsid w:val="1C0C10AB"/>
    <w:rsid w:val="1C2B09D7"/>
    <w:rsid w:val="1C726FD2"/>
    <w:rsid w:val="1C7B7E93"/>
    <w:rsid w:val="1C967A67"/>
    <w:rsid w:val="1C9B0458"/>
    <w:rsid w:val="1CC214D0"/>
    <w:rsid w:val="1CDF113F"/>
    <w:rsid w:val="1D041968"/>
    <w:rsid w:val="1D303AF9"/>
    <w:rsid w:val="1D6B5C8B"/>
    <w:rsid w:val="1D8F34DF"/>
    <w:rsid w:val="1DCE1EDE"/>
    <w:rsid w:val="1DD40699"/>
    <w:rsid w:val="1DFF28DC"/>
    <w:rsid w:val="1E0431F6"/>
    <w:rsid w:val="1E0F4855"/>
    <w:rsid w:val="1E1B71C5"/>
    <w:rsid w:val="1E3038B6"/>
    <w:rsid w:val="1E3448DA"/>
    <w:rsid w:val="1E8A3476"/>
    <w:rsid w:val="1EA179EB"/>
    <w:rsid w:val="1EB04FC8"/>
    <w:rsid w:val="1EF2515C"/>
    <w:rsid w:val="1F0F0727"/>
    <w:rsid w:val="1F2161D9"/>
    <w:rsid w:val="1F50442B"/>
    <w:rsid w:val="1F6E6523"/>
    <w:rsid w:val="1F78690B"/>
    <w:rsid w:val="1F857484"/>
    <w:rsid w:val="1FDC6035"/>
    <w:rsid w:val="20157AD0"/>
    <w:rsid w:val="206F2B49"/>
    <w:rsid w:val="207F153A"/>
    <w:rsid w:val="208232A8"/>
    <w:rsid w:val="20B72AF8"/>
    <w:rsid w:val="20BA5CB1"/>
    <w:rsid w:val="20EC0A00"/>
    <w:rsid w:val="212C32BB"/>
    <w:rsid w:val="212E1A9B"/>
    <w:rsid w:val="21501526"/>
    <w:rsid w:val="21800548"/>
    <w:rsid w:val="219268C5"/>
    <w:rsid w:val="219A5422"/>
    <w:rsid w:val="21C705C2"/>
    <w:rsid w:val="21E44C18"/>
    <w:rsid w:val="22100E26"/>
    <w:rsid w:val="226E391B"/>
    <w:rsid w:val="22A064F2"/>
    <w:rsid w:val="230E6993"/>
    <w:rsid w:val="231C3027"/>
    <w:rsid w:val="232D40D2"/>
    <w:rsid w:val="235449F4"/>
    <w:rsid w:val="23820F9F"/>
    <w:rsid w:val="238C63BD"/>
    <w:rsid w:val="23C72C41"/>
    <w:rsid w:val="23CB2FBC"/>
    <w:rsid w:val="245D435D"/>
    <w:rsid w:val="246D2D1F"/>
    <w:rsid w:val="246E5C9B"/>
    <w:rsid w:val="24C27BF4"/>
    <w:rsid w:val="24CD47BB"/>
    <w:rsid w:val="24D04FE4"/>
    <w:rsid w:val="24DA58FB"/>
    <w:rsid w:val="24FA7833"/>
    <w:rsid w:val="24FB61EE"/>
    <w:rsid w:val="250579C6"/>
    <w:rsid w:val="25330F6D"/>
    <w:rsid w:val="253874D7"/>
    <w:rsid w:val="254E75BA"/>
    <w:rsid w:val="2559015C"/>
    <w:rsid w:val="25C550B5"/>
    <w:rsid w:val="25C919D7"/>
    <w:rsid w:val="25CA0BE6"/>
    <w:rsid w:val="25D77D3F"/>
    <w:rsid w:val="263847B2"/>
    <w:rsid w:val="26404506"/>
    <w:rsid w:val="264B0D27"/>
    <w:rsid w:val="26660C06"/>
    <w:rsid w:val="26745FAB"/>
    <w:rsid w:val="26A55F90"/>
    <w:rsid w:val="26A757F6"/>
    <w:rsid w:val="26AC1C33"/>
    <w:rsid w:val="26D2362A"/>
    <w:rsid w:val="26D27249"/>
    <w:rsid w:val="26F4306F"/>
    <w:rsid w:val="27035654"/>
    <w:rsid w:val="271B1D7E"/>
    <w:rsid w:val="272D1A40"/>
    <w:rsid w:val="27494F8C"/>
    <w:rsid w:val="2775331C"/>
    <w:rsid w:val="279F149A"/>
    <w:rsid w:val="281047A8"/>
    <w:rsid w:val="282F50A1"/>
    <w:rsid w:val="28773D63"/>
    <w:rsid w:val="289D137F"/>
    <w:rsid w:val="28B55D43"/>
    <w:rsid w:val="28CD7C6F"/>
    <w:rsid w:val="28D37C2F"/>
    <w:rsid w:val="28D52251"/>
    <w:rsid w:val="28F04CC7"/>
    <w:rsid w:val="291A7E08"/>
    <w:rsid w:val="291C749B"/>
    <w:rsid w:val="29225E47"/>
    <w:rsid w:val="294272AE"/>
    <w:rsid w:val="29677AA6"/>
    <w:rsid w:val="2975317C"/>
    <w:rsid w:val="297E09B3"/>
    <w:rsid w:val="297E3C2D"/>
    <w:rsid w:val="29D10643"/>
    <w:rsid w:val="29E03A2B"/>
    <w:rsid w:val="29F06185"/>
    <w:rsid w:val="2A483E3E"/>
    <w:rsid w:val="2A647B31"/>
    <w:rsid w:val="2ACD4C9E"/>
    <w:rsid w:val="2AED4B93"/>
    <w:rsid w:val="2AF542E5"/>
    <w:rsid w:val="2B9A59BD"/>
    <w:rsid w:val="2BAB4F7A"/>
    <w:rsid w:val="2BB94DC5"/>
    <w:rsid w:val="2BCE3C1B"/>
    <w:rsid w:val="2BE731DC"/>
    <w:rsid w:val="2BFC0FF0"/>
    <w:rsid w:val="2C2D128F"/>
    <w:rsid w:val="2C45639F"/>
    <w:rsid w:val="2C576FB2"/>
    <w:rsid w:val="2CAC7C9E"/>
    <w:rsid w:val="2CC4416C"/>
    <w:rsid w:val="2CE3768B"/>
    <w:rsid w:val="2CEE44AC"/>
    <w:rsid w:val="2D3D7455"/>
    <w:rsid w:val="2D4670FA"/>
    <w:rsid w:val="2D7F3D32"/>
    <w:rsid w:val="2D812157"/>
    <w:rsid w:val="2DAD68F3"/>
    <w:rsid w:val="2DE87A01"/>
    <w:rsid w:val="2DFC2387"/>
    <w:rsid w:val="2E312858"/>
    <w:rsid w:val="2E442677"/>
    <w:rsid w:val="2E6A0D0F"/>
    <w:rsid w:val="2E8462A1"/>
    <w:rsid w:val="2E8C34A7"/>
    <w:rsid w:val="2E9A7103"/>
    <w:rsid w:val="2EA94EBD"/>
    <w:rsid w:val="2EC0139E"/>
    <w:rsid w:val="2EE3459E"/>
    <w:rsid w:val="2EE56727"/>
    <w:rsid w:val="2EF03926"/>
    <w:rsid w:val="2EF768E3"/>
    <w:rsid w:val="2F1F101F"/>
    <w:rsid w:val="2F4930A6"/>
    <w:rsid w:val="2F4B0E90"/>
    <w:rsid w:val="2F5949DF"/>
    <w:rsid w:val="2F6009F2"/>
    <w:rsid w:val="2F944A0C"/>
    <w:rsid w:val="2FBF69D6"/>
    <w:rsid w:val="2FEC2104"/>
    <w:rsid w:val="30781380"/>
    <w:rsid w:val="30874C00"/>
    <w:rsid w:val="30FA3624"/>
    <w:rsid w:val="310F3573"/>
    <w:rsid w:val="31104BF6"/>
    <w:rsid w:val="31185440"/>
    <w:rsid w:val="31212809"/>
    <w:rsid w:val="31391096"/>
    <w:rsid w:val="313B4525"/>
    <w:rsid w:val="31A66043"/>
    <w:rsid w:val="31DC292D"/>
    <w:rsid w:val="31E62D82"/>
    <w:rsid w:val="3221680F"/>
    <w:rsid w:val="323D4C19"/>
    <w:rsid w:val="326C6DF9"/>
    <w:rsid w:val="32847C06"/>
    <w:rsid w:val="329F3000"/>
    <w:rsid w:val="32A373E8"/>
    <w:rsid w:val="32A4634A"/>
    <w:rsid w:val="32D8354D"/>
    <w:rsid w:val="32E427DE"/>
    <w:rsid w:val="32F50D55"/>
    <w:rsid w:val="33130D9B"/>
    <w:rsid w:val="3392077E"/>
    <w:rsid w:val="33C543BD"/>
    <w:rsid w:val="33C97D44"/>
    <w:rsid w:val="34096D3F"/>
    <w:rsid w:val="347F77EC"/>
    <w:rsid w:val="34C4224C"/>
    <w:rsid w:val="34C53C92"/>
    <w:rsid w:val="34E25505"/>
    <w:rsid w:val="353C6DE4"/>
    <w:rsid w:val="354370E8"/>
    <w:rsid w:val="3547436D"/>
    <w:rsid w:val="356B26E2"/>
    <w:rsid w:val="35A14EEB"/>
    <w:rsid w:val="35A818A1"/>
    <w:rsid w:val="35D35B8C"/>
    <w:rsid w:val="35DF7FA6"/>
    <w:rsid w:val="35E20F2D"/>
    <w:rsid w:val="35F95B6E"/>
    <w:rsid w:val="35FB4823"/>
    <w:rsid w:val="36137A9E"/>
    <w:rsid w:val="36180AD9"/>
    <w:rsid w:val="365B233B"/>
    <w:rsid w:val="368F7A9A"/>
    <w:rsid w:val="36A57EF9"/>
    <w:rsid w:val="36B1414C"/>
    <w:rsid w:val="36C84D74"/>
    <w:rsid w:val="36D6068F"/>
    <w:rsid w:val="36E40595"/>
    <w:rsid w:val="36EB1FE3"/>
    <w:rsid w:val="36F33136"/>
    <w:rsid w:val="36F7145B"/>
    <w:rsid w:val="372939BB"/>
    <w:rsid w:val="372B4957"/>
    <w:rsid w:val="37A03152"/>
    <w:rsid w:val="37B06191"/>
    <w:rsid w:val="37BF1F63"/>
    <w:rsid w:val="37C0511A"/>
    <w:rsid w:val="37CA1D8D"/>
    <w:rsid w:val="37D15F53"/>
    <w:rsid w:val="38377A2C"/>
    <w:rsid w:val="38625550"/>
    <w:rsid w:val="3885750C"/>
    <w:rsid w:val="38964C0D"/>
    <w:rsid w:val="38B80254"/>
    <w:rsid w:val="38EE1EE1"/>
    <w:rsid w:val="3922196A"/>
    <w:rsid w:val="39493A03"/>
    <w:rsid w:val="397E0BBD"/>
    <w:rsid w:val="39897041"/>
    <w:rsid w:val="39993C1B"/>
    <w:rsid w:val="39A04AD0"/>
    <w:rsid w:val="39A95BE7"/>
    <w:rsid w:val="39D666E1"/>
    <w:rsid w:val="3A251ED9"/>
    <w:rsid w:val="3A282BC0"/>
    <w:rsid w:val="3A431A1B"/>
    <w:rsid w:val="3A50591E"/>
    <w:rsid w:val="3AA712B6"/>
    <w:rsid w:val="3AB32AD7"/>
    <w:rsid w:val="3AEC50AC"/>
    <w:rsid w:val="3B241DA2"/>
    <w:rsid w:val="3B396FDA"/>
    <w:rsid w:val="3B560295"/>
    <w:rsid w:val="3B5F255A"/>
    <w:rsid w:val="3B871330"/>
    <w:rsid w:val="3B921060"/>
    <w:rsid w:val="3BCA3F69"/>
    <w:rsid w:val="3BCE5DD9"/>
    <w:rsid w:val="3BD3519D"/>
    <w:rsid w:val="3BDB3232"/>
    <w:rsid w:val="3BF311F4"/>
    <w:rsid w:val="3C183281"/>
    <w:rsid w:val="3C1B5799"/>
    <w:rsid w:val="3C5924A5"/>
    <w:rsid w:val="3C6D6A9B"/>
    <w:rsid w:val="3CCA42D6"/>
    <w:rsid w:val="3CCE5DB4"/>
    <w:rsid w:val="3CEB30EB"/>
    <w:rsid w:val="3CEE45CB"/>
    <w:rsid w:val="3CFF7A65"/>
    <w:rsid w:val="3D15449A"/>
    <w:rsid w:val="3D503842"/>
    <w:rsid w:val="3D9961F1"/>
    <w:rsid w:val="3DA164A9"/>
    <w:rsid w:val="3DA7050F"/>
    <w:rsid w:val="3E2D328B"/>
    <w:rsid w:val="3E480748"/>
    <w:rsid w:val="3E6624B1"/>
    <w:rsid w:val="3E6D3CFD"/>
    <w:rsid w:val="3E781BD9"/>
    <w:rsid w:val="3E8409D1"/>
    <w:rsid w:val="3EA25C8F"/>
    <w:rsid w:val="3EAD5FA3"/>
    <w:rsid w:val="3EFA59CB"/>
    <w:rsid w:val="3F1E7077"/>
    <w:rsid w:val="3F4C14EF"/>
    <w:rsid w:val="3F531EAE"/>
    <w:rsid w:val="3F572900"/>
    <w:rsid w:val="3F660E1A"/>
    <w:rsid w:val="3F8556E5"/>
    <w:rsid w:val="3F9532D6"/>
    <w:rsid w:val="3FB40A2D"/>
    <w:rsid w:val="3FB71D09"/>
    <w:rsid w:val="3FB85427"/>
    <w:rsid w:val="3FB86B84"/>
    <w:rsid w:val="3FE62288"/>
    <w:rsid w:val="3FF14EF0"/>
    <w:rsid w:val="400020CF"/>
    <w:rsid w:val="40152662"/>
    <w:rsid w:val="40191B78"/>
    <w:rsid w:val="402B2B20"/>
    <w:rsid w:val="403376E6"/>
    <w:rsid w:val="40606C63"/>
    <w:rsid w:val="40742CC1"/>
    <w:rsid w:val="407B41F3"/>
    <w:rsid w:val="40C87718"/>
    <w:rsid w:val="40D57DED"/>
    <w:rsid w:val="40DA26EA"/>
    <w:rsid w:val="40E27C37"/>
    <w:rsid w:val="41245464"/>
    <w:rsid w:val="416E1B48"/>
    <w:rsid w:val="41760883"/>
    <w:rsid w:val="41881A01"/>
    <w:rsid w:val="419E7F7B"/>
    <w:rsid w:val="41C174ED"/>
    <w:rsid w:val="41C3133E"/>
    <w:rsid w:val="41FA18E7"/>
    <w:rsid w:val="42050454"/>
    <w:rsid w:val="421A3479"/>
    <w:rsid w:val="42750EBF"/>
    <w:rsid w:val="428914A3"/>
    <w:rsid w:val="42A247DF"/>
    <w:rsid w:val="42A862DA"/>
    <w:rsid w:val="42B71375"/>
    <w:rsid w:val="42BB5289"/>
    <w:rsid w:val="42C346CB"/>
    <w:rsid w:val="42FC216C"/>
    <w:rsid w:val="43426996"/>
    <w:rsid w:val="43444813"/>
    <w:rsid w:val="437365FA"/>
    <w:rsid w:val="43853A48"/>
    <w:rsid w:val="43B35173"/>
    <w:rsid w:val="43C30EBE"/>
    <w:rsid w:val="43D14A90"/>
    <w:rsid w:val="43D94404"/>
    <w:rsid w:val="43DB4C22"/>
    <w:rsid w:val="43DF6CA5"/>
    <w:rsid w:val="43FD36FF"/>
    <w:rsid w:val="43FE02FC"/>
    <w:rsid w:val="44284A14"/>
    <w:rsid w:val="443A512B"/>
    <w:rsid w:val="447952F1"/>
    <w:rsid w:val="44B64AF8"/>
    <w:rsid w:val="44C909DD"/>
    <w:rsid w:val="44DE6EE7"/>
    <w:rsid w:val="453E696F"/>
    <w:rsid w:val="453F4B05"/>
    <w:rsid w:val="45576F7C"/>
    <w:rsid w:val="456F6B9F"/>
    <w:rsid w:val="45830302"/>
    <w:rsid w:val="45A7363B"/>
    <w:rsid w:val="45A75961"/>
    <w:rsid w:val="45C75D73"/>
    <w:rsid w:val="46454598"/>
    <w:rsid w:val="465368E1"/>
    <w:rsid w:val="46A16BA3"/>
    <w:rsid w:val="46B47DA2"/>
    <w:rsid w:val="46C457A6"/>
    <w:rsid w:val="46C92F6B"/>
    <w:rsid w:val="46DC4328"/>
    <w:rsid w:val="46E24EBB"/>
    <w:rsid w:val="471F7875"/>
    <w:rsid w:val="47284967"/>
    <w:rsid w:val="47637D10"/>
    <w:rsid w:val="476D78A4"/>
    <w:rsid w:val="47711893"/>
    <w:rsid w:val="478E2B97"/>
    <w:rsid w:val="479B69CB"/>
    <w:rsid w:val="47C1131D"/>
    <w:rsid w:val="47CA2A27"/>
    <w:rsid w:val="47E21FB4"/>
    <w:rsid w:val="47E86D50"/>
    <w:rsid w:val="480D406B"/>
    <w:rsid w:val="48784301"/>
    <w:rsid w:val="488241D3"/>
    <w:rsid w:val="48932A4E"/>
    <w:rsid w:val="489B5BB8"/>
    <w:rsid w:val="48BA55ED"/>
    <w:rsid w:val="48ED191F"/>
    <w:rsid w:val="496E257C"/>
    <w:rsid w:val="49765393"/>
    <w:rsid w:val="497A3D1B"/>
    <w:rsid w:val="49D7054F"/>
    <w:rsid w:val="4A066C65"/>
    <w:rsid w:val="4A261067"/>
    <w:rsid w:val="4A405D06"/>
    <w:rsid w:val="4A56380D"/>
    <w:rsid w:val="4A685165"/>
    <w:rsid w:val="4A99461D"/>
    <w:rsid w:val="4A9B340C"/>
    <w:rsid w:val="4AA03001"/>
    <w:rsid w:val="4AA5422C"/>
    <w:rsid w:val="4AE13F0A"/>
    <w:rsid w:val="4B2642F9"/>
    <w:rsid w:val="4B3C4B0D"/>
    <w:rsid w:val="4B8D4D7F"/>
    <w:rsid w:val="4B8F66A5"/>
    <w:rsid w:val="4B982F79"/>
    <w:rsid w:val="4BA265A2"/>
    <w:rsid w:val="4BB74194"/>
    <w:rsid w:val="4BBE18AF"/>
    <w:rsid w:val="4BD72A88"/>
    <w:rsid w:val="4BE30950"/>
    <w:rsid w:val="4C216369"/>
    <w:rsid w:val="4C4369D8"/>
    <w:rsid w:val="4C574EB9"/>
    <w:rsid w:val="4C5A0D78"/>
    <w:rsid w:val="4C5C1BFD"/>
    <w:rsid w:val="4CA50870"/>
    <w:rsid w:val="4CC87D28"/>
    <w:rsid w:val="4CCB47A4"/>
    <w:rsid w:val="4CDD77DF"/>
    <w:rsid w:val="4CF64C06"/>
    <w:rsid w:val="4D1F1754"/>
    <w:rsid w:val="4D3A02FB"/>
    <w:rsid w:val="4D6D0660"/>
    <w:rsid w:val="4D815493"/>
    <w:rsid w:val="4DA27B1D"/>
    <w:rsid w:val="4DBD7B16"/>
    <w:rsid w:val="4DCA05DE"/>
    <w:rsid w:val="4DDE46FB"/>
    <w:rsid w:val="4E431B38"/>
    <w:rsid w:val="4E557EA6"/>
    <w:rsid w:val="4E654FCA"/>
    <w:rsid w:val="4EA35120"/>
    <w:rsid w:val="4ECB4B81"/>
    <w:rsid w:val="4ECE3A24"/>
    <w:rsid w:val="4EE31B4E"/>
    <w:rsid w:val="4EEF0C94"/>
    <w:rsid w:val="4F196F13"/>
    <w:rsid w:val="4F33665D"/>
    <w:rsid w:val="4F5C2410"/>
    <w:rsid w:val="4FA90297"/>
    <w:rsid w:val="4FE10AD9"/>
    <w:rsid w:val="501F4823"/>
    <w:rsid w:val="5048105A"/>
    <w:rsid w:val="507145A8"/>
    <w:rsid w:val="50BA4A91"/>
    <w:rsid w:val="50F6465B"/>
    <w:rsid w:val="5141774D"/>
    <w:rsid w:val="5147161E"/>
    <w:rsid w:val="51554BC8"/>
    <w:rsid w:val="51604423"/>
    <w:rsid w:val="51767DEE"/>
    <w:rsid w:val="51CD4841"/>
    <w:rsid w:val="51D264BA"/>
    <w:rsid w:val="51D830B6"/>
    <w:rsid w:val="5208061B"/>
    <w:rsid w:val="523077D8"/>
    <w:rsid w:val="524339B1"/>
    <w:rsid w:val="525B4E5E"/>
    <w:rsid w:val="526E0775"/>
    <w:rsid w:val="526F4475"/>
    <w:rsid w:val="52767290"/>
    <w:rsid w:val="527C6137"/>
    <w:rsid w:val="5288688A"/>
    <w:rsid w:val="52AB2D91"/>
    <w:rsid w:val="52B75ED9"/>
    <w:rsid w:val="52EA2FB0"/>
    <w:rsid w:val="52EE50DA"/>
    <w:rsid w:val="534933B3"/>
    <w:rsid w:val="535344CA"/>
    <w:rsid w:val="537D5CC3"/>
    <w:rsid w:val="53C227F4"/>
    <w:rsid w:val="53CF1C80"/>
    <w:rsid w:val="54386EE6"/>
    <w:rsid w:val="54622E41"/>
    <w:rsid w:val="548241FE"/>
    <w:rsid w:val="548D6DE9"/>
    <w:rsid w:val="54AF548A"/>
    <w:rsid w:val="54C208A0"/>
    <w:rsid w:val="54D64FE8"/>
    <w:rsid w:val="54E55D5E"/>
    <w:rsid w:val="55345B7E"/>
    <w:rsid w:val="558A3625"/>
    <w:rsid w:val="558B763C"/>
    <w:rsid w:val="55997C56"/>
    <w:rsid w:val="55DE45D4"/>
    <w:rsid w:val="55FA322C"/>
    <w:rsid w:val="55FB55C5"/>
    <w:rsid w:val="561D64E1"/>
    <w:rsid w:val="56230ED9"/>
    <w:rsid w:val="56431446"/>
    <w:rsid w:val="56464418"/>
    <w:rsid w:val="567E2D57"/>
    <w:rsid w:val="569927C0"/>
    <w:rsid w:val="56C97471"/>
    <w:rsid w:val="56CC0127"/>
    <w:rsid w:val="56D36FB6"/>
    <w:rsid w:val="56E93B2A"/>
    <w:rsid w:val="56F126CD"/>
    <w:rsid w:val="56FD45D9"/>
    <w:rsid w:val="57026E1D"/>
    <w:rsid w:val="5728537A"/>
    <w:rsid w:val="57535931"/>
    <w:rsid w:val="5763318B"/>
    <w:rsid w:val="57821AC3"/>
    <w:rsid w:val="57B12394"/>
    <w:rsid w:val="57B93887"/>
    <w:rsid w:val="57DC3801"/>
    <w:rsid w:val="57EE210F"/>
    <w:rsid w:val="58180363"/>
    <w:rsid w:val="58242FA6"/>
    <w:rsid w:val="58281038"/>
    <w:rsid w:val="58435078"/>
    <w:rsid w:val="584D3D9F"/>
    <w:rsid w:val="58622FAC"/>
    <w:rsid w:val="589E20E8"/>
    <w:rsid w:val="58A17F73"/>
    <w:rsid w:val="58B350A9"/>
    <w:rsid w:val="58DA7713"/>
    <w:rsid w:val="58DB3A29"/>
    <w:rsid w:val="58DD654F"/>
    <w:rsid w:val="590A6D78"/>
    <w:rsid w:val="593B24B9"/>
    <w:rsid w:val="59474E16"/>
    <w:rsid w:val="596E34A4"/>
    <w:rsid w:val="59B461B6"/>
    <w:rsid w:val="59F864E1"/>
    <w:rsid w:val="5A071D7E"/>
    <w:rsid w:val="5A306E3A"/>
    <w:rsid w:val="5A51154D"/>
    <w:rsid w:val="5A5A3F08"/>
    <w:rsid w:val="5A6D3E49"/>
    <w:rsid w:val="5A6F2051"/>
    <w:rsid w:val="5A716315"/>
    <w:rsid w:val="5A751DEA"/>
    <w:rsid w:val="5A752C0B"/>
    <w:rsid w:val="5AA340D3"/>
    <w:rsid w:val="5ABC4026"/>
    <w:rsid w:val="5ADF5547"/>
    <w:rsid w:val="5AEC1704"/>
    <w:rsid w:val="5AF91301"/>
    <w:rsid w:val="5B096777"/>
    <w:rsid w:val="5B1218EE"/>
    <w:rsid w:val="5B1458BC"/>
    <w:rsid w:val="5B8D60B7"/>
    <w:rsid w:val="5BA109BC"/>
    <w:rsid w:val="5BB00BA9"/>
    <w:rsid w:val="5BDC650E"/>
    <w:rsid w:val="5C451D35"/>
    <w:rsid w:val="5C5935C1"/>
    <w:rsid w:val="5C67011A"/>
    <w:rsid w:val="5C706C16"/>
    <w:rsid w:val="5CA67272"/>
    <w:rsid w:val="5CD54DC2"/>
    <w:rsid w:val="5D1B7290"/>
    <w:rsid w:val="5D83337D"/>
    <w:rsid w:val="5DB46ABB"/>
    <w:rsid w:val="5DFE7A27"/>
    <w:rsid w:val="5E144EED"/>
    <w:rsid w:val="5E821546"/>
    <w:rsid w:val="5E877E0D"/>
    <w:rsid w:val="5E897C12"/>
    <w:rsid w:val="5EA274B7"/>
    <w:rsid w:val="5EAF5BD7"/>
    <w:rsid w:val="5ECF3C6B"/>
    <w:rsid w:val="5EE00812"/>
    <w:rsid w:val="5F1726D8"/>
    <w:rsid w:val="5F1E3DBE"/>
    <w:rsid w:val="5F28609C"/>
    <w:rsid w:val="5F2A5792"/>
    <w:rsid w:val="5F457C97"/>
    <w:rsid w:val="5F4830E1"/>
    <w:rsid w:val="5FCB1FA9"/>
    <w:rsid w:val="5FD650D9"/>
    <w:rsid w:val="5FEE4DE1"/>
    <w:rsid w:val="5FF220F6"/>
    <w:rsid w:val="602604C1"/>
    <w:rsid w:val="60285208"/>
    <w:rsid w:val="603132C5"/>
    <w:rsid w:val="607801D8"/>
    <w:rsid w:val="60CB621F"/>
    <w:rsid w:val="60CF1E5F"/>
    <w:rsid w:val="612B7A00"/>
    <w:rsid w:val="614410DE"/>
    <w:rsid w:val="615A570B"/>
    <w:rsid w:val="6165496B"/>
    <w:rsid w:val="61887584"/>
    <w:rsid w:val="61B5586E"/>
    <w:rsid w:val="61E13959"/>
    <w:rsid w:val="61F1738D"/>
    <w:rsid w:val="620C6313"/>
    <w:rsid w:val="62160255"/>
    <w:rsid w:val="622976AD"/>
    <w:rsid w:val="6263179A"/>
    <w:rsid w:val="62D60EA9"/>
    <w:rsid w:val="62F67FDF"/>
    <w:rsid w:val="63046BD9"/>
    <w:rsid w:val="630B71A6"/>
    <w:rsid w:val="633A4ED7"/>
    <w:rsid w:val="634942DE"/>
    <w:rsid w:val="635F14A0"/>
    <w:rsid w:val="637F271A"/>
    <w:rsid w:val="638F23BA"/>
    <w:rsid w:val="63AF355A"/>
    <w:rsid w:val="63B95340"/>
    <w:rsid w:val="63C13990"/>
    <w:rsid w:val="63DC0704"/>
    <w:rsid w:val="63F46D6E"/>
    <w:rsid w:val="641D0430"/>
    <w:rsid w:val="64351760"/>
    <w:rsid w:val="644D470E"/>
    <w:rsid w:val="645D58AF"/>
    <w:rsid w:val="646211FB"/>
    <w:rsid w:val="646A726E"/>
    <w:rsid w:val="64926D6E"/>
    <w:rsid w:val="64AE2112"/>
    <w:rsid w:val="64CD786A"/>
    <w:rsid w:val="64ED1AA2"/>
    <w:rsid w:val="64FB67B2"/>
    <w:rsid w:val="650E44F8"/>
    <w:rsid w:val="653B778C"/>
    <w:rsid w:val="656400FE"/>
    <w:rsid w:val="657713D3"/>
    <w:rsid w:val="658E6F20"/>
    <w:rsid w:val="659D12AE"/>
    <w:rsid w:val="65EE2A50"/>
    <w:rsid w:val="65F43742"/>
    <w:rsid w:val="65FA0A80"/>
    <w:rsid w:val="66BB5001"/>
    <w:rsid w:val="66C11A9C"/>
    <w:rsid w:val="66C537B1"/>
    <w:rsid w:val="66C624E3"/>
    <w:rsid w:val="670561B8"/>
    <w:rsid w:val="670C13E0"/>
    <w:rsid w:val="67682603"/>
    <w:rsid w:val="67783F67"/>
    <w:rsid w:val="67892A30"/>
    <w:rsid w:val="67B35EF8"/>
    <w:rsid w:val="67DF6AF4"/>
    <w:rsid w:val="681B67C2"/>
    <w:rsid w:val="68450202"/>
    <w:rsid w:val="68750751"/>
    <w:rsid w:val="68765FCE"/>
    <w:rsid w:val="68ED3493"/>
    <w:rsid w:val="68FE146C"/>
    <w:rsid w:val="694226AB"/>
    <w:rsid w:val="69934905"/>
    <w:rsid w:val="69AD318D"/>
    <w:rsid w:val="69BA2CA3"/>
    <w:rsid w:val="69E0366A"/>
    <w:rsid w:val="6A0D46DF"/>
    <w:rsid w:val="6A105C75"/>
    <w:rsid w:val="6A2047DF"/>
    <w:rsid w:val="6A2560CB"/>
    <w:rsid w:val="6A4B0031"/>
    <w:rsid w:val="6A5178D8"/>
    <w:rsid w:val="6A5C3BBB"/>
    <w:rsid w:val="6A7E5DD5"/>
    <w:rsid w:val="6A8A7AD3"/>
    <w:rsid w:val="6A99538E"/>
    <w:rsid w:val="6A9A36A5"/>
    <w:rsid w:val="6ACB524B"/>
    <w:rsid w:val="6AD170D7"/>
    <w:rsid w:val="6B1F4423"/>
    <w:rsid w:val="6B563760"/>
    <w:rsid w:val="6B8526BB"/>
    <w:rsid w:val="6BC278A1"/>
    <w:rsid w:val="6BC931BE"/>
    <w:rsid w:val="6BDE7635"/>
    <w:rsid w:val="6C032174"/>
    <w:rsid w:val="6C1B181B"/>
    <w:rsid w:val="6C3F7B62"/>
    <w:rsid w:val="6C5B6D6C"/>
    <w:rsid w:val="6C7B4551"/>
    <w:rsid w:val="6C8E0A47"/>
    <w:rsid w:val="6CB72DEF"/>
    <w:rsid w:val="6CDB5FC7"/>
    <w:rsid w:val="6CEE7966"/>
    <w:rsid w:val="6CF24368"/>
    <w:rsid w:val="6CFA2788"/>
    <w:rsid w:val="6D233D10"/>
    <w:rsid w:val="6D354B3A"/>
    <w:rsid w:val="6D4A5C51"/>
    <w:rsid w:val="6D733505"/>
    <w:rsid w:val="6D836174"/>
    <w:rsid w:val="6D9E7FA0"/>
    <w:rsid w:val="6E1E70A2"/>
    <w:rsid w:val="6E382AF4"/>
    <w:rsid w:val="6E3A12A6"/>
    <w:rsid w:val="6E66586B"/>
    <w:rsid w:val="6E8A512E"/>
    <w:rsid w:val="6E912B6F"/>
    <w:rsid w:val="6EAC6020"/>
    <w:rsid w:val="6EB56DC6"/>
    <w:rsid w:val="6EED2F38"/>
    <w:rsid w:val="6F1E0CCC"/>
    <w:rsid w:val="6F675967"/>
    <w:rsid w:val="6FA75111"/>
    <w:rsid w:val="6FB81B26"/>
    <w:rsid w:val="6FBC68F2"/>
    <w:rsid w:val="6FCF7A1D"/>
    <w:rsid w:val="6FEE29BF"/>
    <w:rsid w:val="7025052F"/>
    <w:rsid w:val="70275B6E"/>
    <w:rsid w:val="70360238"/>
    <w:rsid w:val="704C6CF1"/>
    <w:rsid w:val="705D0819"/>
    <w:rsid w:val="7064021E"/>
    <w:rsid w:val="70700216"/>
    <w:rsid w:val="70747101"/>
    <w:rsid w:val="707F181E"/>
    <w:rsid w:val="70843C26"/>
    <w:rsid w:val="70882D5F"/>
    <w:rsid w:val="709A1682"/>
    <w:rsid w:val="70A80A02"/>
    <w:rsid w:val="70D85AF6"/>
    <w:rsid w:val="7101373C"/>
    <w:rsid w:val="7105585E"/>
    <w:rsid w:val="71341CCC"/>
    <w:rsid w:val="714123FB"/>
    <w:rsid w:val="71812D56"/>
    <w:rsid w:val="718A7982"/>
    <w:rsid w:val="718D5813"/>
    <w:rsid w:val="7196669D"/>
    <w:rsid w:val="719E04D6"/>
    <w:rsid w:val="71D43EF2"/>
    <w:rsid w:val="71DE57C9"/>
    <w:rsid w:val="71E349D1"/>
    <w:rsid w:val="71EF3FF7"/>
    <w:rsid w:val="71F753A6"/>
    <w:rsid w:val="72160B40"/>
    <w:rsid w:val="72365125"/>
    <w:rsid w:val="727F2C34"/>
    <w:rsid w:val="72927A2D"/>
    <w:rsid w:val="72E70F53"/>
    <w:rsid w:val="7333007D"/>
    <w:rsid w:val="7339335A"/>
    <w:rsid w:val="735722D1"/>
    <w:rsid w:val="73A43A4B"/>
    <w:rsid w:val="73D75235"/>
    <w:rsid w:val="73E831D5"/>
    <w:rsid w:val="73F04059"/>
    <w:rsid w:val="740452A7"/>
    <w:rsid w:val="74171770"/>
    <w:rsid w:val="742518B6"/>
    <w:rsid w:val="743D4D57"/>
    <w:rsid w:val="746972C0"/>
    <w:rsid w:val="74AD1DB7"/>
    <w:rsid w:val="74D4598D"/>
    <w:rsid w:val="74FC6F38"/>
    <w:rsid w:val="75075B72"/>
    <w:rsid w:val="750A3AA6"/>
    <w:rsid w:val="754C1D18"/>
    <w:rsid w:val="756248C1"/>
    <w:rsid w:val="756D17F0"/>
    <w:rsid w:val="757105B0"/>
    <w:rsid w:val="75851546"/>
    <w:rsid w:val="7592668B"/>
    <w:rsid w:val="759B2763"/>
    <w:rsid w:val="75A10B1A"/>
    <w:rsid w:val="75D94B83"/>
    <w:rsid w:val="76250C28"/>
    <w:rsid w:val="765D3A06"/>
    <w:rsid w:val="76621BF9"/>
    <w:rsid w:val="769D50FB"/>
    <w:rsid w:val="76BF1BF0"/>
    <w:rsid w:val="76DB0545"/>
    <w:rsid w:val="775D6596"/>
    <w:rsid w:val="77872A52"/>
    <w:rsid w:val="77995178"/>
    <w:rsid w:val="77A46B4A"/>
    <w:rsid w:val="77A837D5"/>
    <w:rsid w:val="77F70DF2"/>
    <w:rsid w:val="78085E3E"/>
    <w:rsid w:val="780D7F73"/>
    <w:rsid w:val="7813537D"/>
    <w:rsid w:val="78342D51"/>
    <w:rsid w:val="78400401"/>
    <w:rsid w:val="78435C2C"/>
    <w:rsid w:val="78766717"/>
    <w:rsid w:val="7878384E"/>
    <w:rsid w:val="78C53A2B"/>
    <w:rsid w:val="78C6401A"/>
    <w:rsid w:val="78C91608"/>
    <w:rsid w:val="78C974F4"/>
    <w:rsid w:val="78F82C2B"/>
    <w:rsid w:val="7903112E"/>
    <w:rsid w:val="79342579"/>
    <w:rsid w:val="79706310"/>
    <w:rsid w:val="797A05A8"/>
    <w:rsid w:val="797C0647"/>
    <w:rsid w:val="797F52E9"/>
    <w:rsid w:val="79863274"/>
    <w:rsid w:val="79955761"/>
    <w:rsid w:val="799A287B"/>
    <w:rsid w:val="799D2687"/>
    <w:rsid w:val="79A32DEC"/>
    <w:rsid w:val="79D21891"/>
    <w:rsid w:val="79EB1329"/>
    <w:rsid w:val="7A4E6231"/>
    <w:rsid w:val="7A577833"/>
    <w:rsid w:val="7A5C69C3"/>
    <w:rsid w:val="7A7C6FD9"/>
    <w:rsid w:val="7B2B0079"/>
    <w:rsid w:val="7B946F49"/>
    <w:rsid w:val="7B97240F"/>
    <w:rsid w:val="7B9F5AE6"/>
    <w:rsid w:val="7BA15D4D"/>
    <w:rsid w:val="7BC938EC"/>
    <w:rsid w:val="7BCF7587"/>
    <w:rsid w:val="7BE27026"/>
    <w:rsid w:val="7C127041"/>
    <w:rsid w:val="7C2A31F5"/>
    <w:rsid w:val="7C361CB9"/>
    <w:rsid w:val="7C783A6F"/>
    <w:rsid w:val="7C860FE5"/>
    <w:rsid w:val="7CD95DB0"/>
    <w:rsid w:val="7D080978"/>
    <w:rsid w:val="7D164B55"/>
    <w:rsid w:val="7D430BCB"/>
    <w:rsid w:val="7D497957"/>
    <w:rsid w:val="7D4C2B88"/>
    <w:rsid w:val="7D672E11"/>
    <w:rsid w:val="7DB642B3"/>
    <w:rsid w:val="7DBC0310"/>
    <w:rsid w:val="7DC66335"/>
    <w:rsid w:val="7DD9545B"/>
    <w:rsid w:val="7DE27522"/>
    <w:rsid w:val="7E0830FB"/>
    <w:rsid w:val="7E2F7B7C"/>
    <w:rsid w:val="7E3A287F"/>
    <w:rsid w:val="7E417769"/>
    <w:rsid w:val="7E437BB0"/>
    <w:rsid w:val="7E4C1B66"/>
    <w:rsid w:val="7E784A81"/>
    <w:rsid w:val="7E9E6782"/>
    <w:rsid w:val="7E9F6BFD"/>
    <w:rsid w:val="7EAC29D8"/>
    <w:rsid w:val="7EE4531F"/>
    <w:rsid w:val="7EF25410"/>
    <w:rsid w:val="7F0C26D8"/>
    <w:rsid w:val="7F164F31"/>
    <w:rsid w:val="7F1D499D"/>
    <w:rsid w:val="7F6151B8"/>
    <w:rsid w:val="7F7E6D37"/>
    <w:rsid w:val="7F8E4C30"/>
    <w:rsid w:val="7FC51A56"/>
    <w:rsid w:val="7FD44C9D"/>
    <w:rsid w:val="7FF1547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4"/>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51"/>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Normal Indent"/>
    <w:basedOn w:val="1"/>
    <w:unhideWhenUsed/>
    <w:qFormat/>
    <w:uiPriority w:val="0"/>
    <w:pPr>
      <w:ind w:firstLine="420" w:firstLineChars="200"/>
    </w:pPr>
  </w:style>
  <w:style w:type="paragraph" w:styleId="9">
    <w:name w:val="Document Map"/>
    <w:basedOn w:val="1"/>
    <w:semiHidden/>
    <w:unhideWhenUsed/>
    <w:qFormat/>
    <w:uiPriority w:val="0"/>
    <w:rPr>
      <w:rFonts w:ascii="宋体"/>
      <w:sz w:val="18"/>
      <w:szCs w:val="18"/>
    </w:rPr>
  </w:style>
  <w:style w:type="paragraph" w:styleId="10">
    <w:name w:val="annotation text"/>
    <w:basedOn w:val="1"/>
    <w:semiHidden/>
    <w:unhideWhenUsed/>
    <w:qFormat/>
    <w:uiPriority w:val="0"/>
    <w:pPr>
      <w:jc w:val="left"/>
    </w:pPr>
  </w:style>
  <w:style w:type="paragraph" w:styleId="11">
    <w:name w:val="Body Text Indent"/>
    <w:basedOn w:val="1"/>
    <w:link w:val="55"/>
    <w:qFormat/>
    <w:uiPriority w:val="0"/>
    <w:pPr>
      <w:spacing w:line="480" w:lineRule="exact"/>
      <w:ind w:firstLine="560" w:firstLineChars="200"/>
    </w:pPr>
    <w:rPr>
      <w:sz w:val="24"/>
    </w:rPr>
  </w:style>
  <w:style w:type="paragraph" w:styleId="12">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3">
    <w:name w:val="toc 3"/>
    <w:basedOn w:val="1"/>
    <w:next w:val="1"/>
    <w:unhideWhenUsed/>
    <w:qFormat/>
    <w:uiPriority w:val="39"/>
    <w:pPr>
      <w:ind w:left="840" w:firstLine="0"/>
    </w:pPr>
  </w:style>
  <w:style w:type="paragraph" w:styleId="14">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link w:val="56"/>
    <w:qFormat/>
    <w:uiPriority w:val="0"/>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57"/>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annotation subject"/>
    <w:basedOn w:val="10"/>
    <w:next w:val="10"/>
    <w:semiHidden/>
    <w:unhideWhenUsed/>
    <w:qFormat/>
    <w:uiPriority w:val="0"/>
    <w:rPr>
      <w:b/>
    </w:rPr>
  </w:style>
  <w:style w:type="paragraph" w:styleId="27">
    <w:name w:val="Body Text First Indent 2"/>
    <w:basedOn w:val="11"/>
    <w:link w:val="58"/>
    <w:unhideWhenUsed/>
    <w:qFormat/>
    <w:uiPriority w:val="0"/>
    <w:pPr>
      <w:spacing w:after="120" w:line="240" w:lineRule="auto"/>
      <w:ind w:left="420" w:leftChars="200" w:firstLine="420"/>
    </w:pPr>
    <w:rPr>
      <w:rFonts w:ascii="Calibri" w:hAnsi="Calibri" w:eastAsia="Times New Roman"/>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customStyle="1" w:styleId="36">
    <w:name w:val="正文1"/>
    <w:basedOn w:val="8"/>
    <w:qFormat/>
    <w:uiPriority w:val="0"/>
    <w:rPr>
      <w:kern w:val="2"/>
    </w:rPr>
  </w:style>
  <w:style w:type="paragraph" w:customStyle="1" w:styleId="37">
    <w:name w:val="样式 标题 1 + 四号 加粗"/>
    <w:basedOn w:val="4"/>
    <w:qFormat/>
    <w:uiPriority w:val="0"/>
    <w:rPr>
      <w:rFonts w:eastAsia="黑体"/>
    </w:rPr>
  </w:style>
  <w:style w:type="paragraph" w:styleId="38">
    <w:name w:val="List Paragraph"/>
    <w:basedOn w:val="1"/>
    <w:qFormat/>
    <w:uiPriority w:val="34"/>
    <w:pPr>
      <w:ind w:firstLine="200"/>
    </w:pPr>
    <w:rPr>
      <w:rFonts w:ascii="Calibri" w:hAnsi="Calibri"/>
    </w:rPr>
  </w:style>
  <w:style w:type="character" w:customStyle="1" w:styleId="39">
    <w:name w:val="正文文本 2 Char"/>
    <w:basedOn w:val="30"/>
    <w:qFormat/>
    <w:uiPriority w:val="0"/>
    <w:rPr>
      <w:rFonts w:ascii="Times New Roman" w:hAnsi="Times New Roman" w:eastAsia="宋体" w:cs="Times New Roman"/>
    </w:rPr>
  </w:style>
  <w:style w:type="character" w:customStyle="1" w:styleId="40">
    <w:name w:val="16"/>
    <w:basedOn w:val="30"/>
    <w:qFormat/>
    <w:uiPriority w:val="0"/>
    <w:rPr>
      <w:rFonts w:hint="default" w:ascii="Times New Roman" w:hAnsi="Times New Roman" w:cs="Times New Roman"/>
      <w:color w:val="0000FF"/>
      <w:u w:val="single"/>
    </w:rPr>
  </w:style>
  <w:style w:type="character" w:customStyle="1" w:styleId="41">
    <w:name w:val="15"/>
    <w:basedOn w:val="30"/>
    <w:qFormat/>
    <w:uiPriority w:val="0"/>
    <w:rPr>
      <w:rFonts w:hint="default" w:ascii="Times New Roman" w:hAnsi="Times New Roman" w:cs="Times New Roman"/>
      <w:color w:val="0000FF"/>
      <w:u w:val="single"/>
    </w:rPr>
  </w:style>
  <w:style w:type="character" w:customStyle="1" w:styleId="42">
    <w:name w:val="标题 3 Char"/>
    <w:qFormat/>
    <w:uiPriority w:val="9"/>
    <w:rPr>
      <w:b/>
      <w:sz w:val="24"/>
      <w:szCs w:val="24"/>
    </w:rPr>
  </w:style>
  <w:style w:type="character" w:customStyle="1" w:styleId="43">
    <w:name w:val="标题 2 Char"/>
    <w:qFormat/>
    <w:uiPriority w:val="8"/>
    <w:rPr>
      <w:rFonts w:ascii="Arial" w:hAnsi="Arial" w:eastAsia="黑体"/>
      <w:b/>
      <w:sz w:val="32"/>
      <w:szCs w:val="32"/>
    </w:rPr>
  </w:style>
  <w:style w:type="character" w:customStyle="1" w:styleId="44">
    <w:name w:val="批注框文本 Char"/>
    <w:basedOn w:val="30"/>
    <w:semiHidden/>
    <w:qFormat/>
    <w:uiPriority w:val="0"/>
    <w:rPr>
      <w:sz w:val="18"/>
      <w:szCs w:val="18"/>
    </w:rPr>
  </w:style>
  <w:style w:type="character" w:customStyle="1" w:styleId="45">
    <w:name w:val="批注文字 Char"/>
    <w:basedOn w:val="30"/>
    <w:semiHidden/>
    <w:qFormat/>
    <w:uiPriority w:val="0"/>
    <w:rPr>
      <w:sz w:val="21"/>
      <w:szCs w:val="21"/>
    </w:rPr>
  </w:style>
  <w:style w:type="character" w:customStyle="1" w:styleId="46">
    <w:name w:val="批注主题 Char"/>
    <w:basedOn w:val="45"/>
    <w:semiHidden/>
    <w:qFormat/>
    <w:uiPriority w:val="0"/>
    <w:rPr>
      <w:b/>
      <w:sz w:val="21"/>
      <w:szCs w:val="21"/>
    </w:rPr>
  </w:style>
  <w:style w:type="character" w:customStyle="1" w:styleId="47">
    <w:name w:val="文档结构图 Char"/>
    <w:basedOn w:val="30"/>
    <w:semiHidden/>
    <w:qFormat/>
    <w:uiPriority w:val="0"/>
    <w:rPr>
      <w:rFonts w:ascii="宋体"/>
      <w:sz w:val="18"/>
      <w:szCs w:val="18"/>
    </w:rPr>
  </w:style>
  <w:style w:type="character" w:customStyle="1" w:styleId="48">
    <w:name w:val="页脚 Char"/>
    <w:qFormat/>
    <w:uiPriority w:val="99"/>
    <w:rPr>
      <w:sz w:val="18"/>
      <w:szCs w:val="18"/>
    </w:rPr>
  </w:style>
  <w:style w:type="character" w:customStyle="1" w:styleId="49">
    <w:name w:val="脚注文本 Char"/>
    <w:basedOn w:val="30"/>
    <w:semiHidden/>
    <w:qFormat/>
    <w:uiPriority w:val="0"/>
    <w:rPr>
      <w:sz w:val="18"/>
      <w:szCs w:val="18"/>
    </w:rPr>
  </w:style>
  <w:style w:type="paragraph" w:customStyle="1" w:styleId="50">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51">
    <w:name w:val="纯文本 Char"/>
    <w:link w:val="2"/>
    <w:qFormat/>
    <w:locked/>
    <w:uiPriority w:val="0"/>
    <w:rPr>
      <w:rFonts w:ascii="宋体" w:hAnsi="Courier New" w:cs="宋体"/>
    </w:rPr>
  </w:style>
  <w:style w:type="paragraph" w:customStyle="1" w:styleId="52">
    <w:name w:val="修订1"/>
    <w:hidden/>
    <w:semiHidden/>
    <w:qFormat/>
    <w:uiPriority w:val="99"/>
    <w:rPr>
      <w:rFonts w:ascii="Times New Roman" w:hAnsi="Times New Roman" w:eastAsia="宋体" w:cs="Times New Roman"/>
      <w:sz w:val="21"/>
      <w:szCs w:val="21"/>
      <w:lang w:val="en-US" w:eastAsia="zh-CN" w:bidi="ar-SA"/>
    </w:rPr>
  </w:style>
  <w:style w:type="paragraph" w:customStyle="1" w:styleId="53">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54">
    <w:name w:val="标题 1 Char"/>
    <w:basedOn w:val="30"/>
    <w:link w:val="4"/>
    <w:qFormat/>
    <w:uiPriority w:val="7"/>
    <w:rPr>
      <w:b/>
      <w:sz w:val="44"/>
      <w:szCs w:val="44"/>
    </w:rPr>
  </w:style>
  <w:style w:type="character" w:customStyle="1" w:styleId="55">
    <w:name w:val="正文文本缩进 Char"/>
    <w:basedOn w:val="30"/>
    <w:link w:val="11"/>
    <w:qFormat/>
    <w:uiPriority w:val="0"/>
    <w:rPr>
      <w:sz w:val="24"/>
      <w:szCs w:val="21"/>
    </w:rPr>
  </w:style>
  <w:style w:type="character" w:customStyle="1" w:styleId="56">
    <w:name w:val="页眉 Char"/>
    <w:basedOn w:val="30"/>
    <w:link w:val="17"/>
    <w:qFormat/>
    <w:uiPriority w:val="0"/>
    <w:rPr>
      <w:sz w:val="18"/>
      <w:szCs w:val="18"/>
    </w:rPr>
  </w:style>
  <w:style w:type="character" w:customStyle="1" w:styleId="57">
    <w:name w:val="正文文本缩进 3 Char"/>
    <w:basedOn w:val="30"/>
    <w:link w:val="22"/>
    <w:qFormat/>
    <w:uiPriority w:val="0"/>
    <w:rPr>
      <w:sz w:val="16"/>
      <w:szCs w:val="16"/>
    </w:rPr>
  </w:style>
  <w:style w:type="character" w:customStyle="1" w:styleId="58">
    <w:name w:val="正文首行缩进 2 Char"/>
    <w:basedOn w:val="55"/>
    <w:link w:val="27"/>
    <w:qFormat/>
    <w:uiPriority w:val="0"/>
    <w:rPr>
      <w:rFonts w:ascii="Calibri" w:hAnsi="Calibri" w:eastAsia="Times New Roman"/>
      <w:sz w:val="24"/>
      <w:szCs w:val="21"/>
    </w:rPr>
  </w:style>
  <w:style w:type="paragraph" w:customStyle="1" w:styleId="59">
    <w:name w:val="WPSOffice手动目录 1"/>
    <w:qFormat/>
    <w:uiPriority w:val="0"/>
    <w:rPr>
      <w:rFonts w:ascii="Times New Roman" w:hAnsi="Times New Roman" w:eastAsia="宋体" w:cs="Times New Roman"/>
      <w:lang w:val="en-US" w:eastAsia="zh-CN" w:bidi="ar-SA"/>
    </w:rPr>
  </w:style>
  <w:style w:type="paragraph" w:customStyle="1" w:styleId="6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61">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62">
    <w:name w:val="font51"/>
    <w:qFormat/>
    <w:uiPriority w:val="0"/>
    <w:rPr>
      <w:rFonts w:hint="default" w:ascii="Calibri" w:hAnsi="Calibri" w:cs="Calibri"/>
      <w:color w:val="000000"/>
      <w:sz w:val="21"/>
      <w:szCs w:val="21"/>
      <w:u w:val="none"/>
    </w:rPr>
  </w:style>
  <w:style w:type="character" w:customStyle="1" w:styleId="63">
    <w:name w:val="font41"/>
    <w:basedOn w:val="30"/>
    <w:qFormat/>
    <w:uiPriority w:val="0"/>
    <w:rPr>
      <w:rFonts w:hint="eastAsia" w:ascii="宋体" w:hAnsi="宋体" w:eastAsia="宋体" w:cs="宋体"/>
      <w:b/>
      <w:bCs/>
      <w:color w:val="000000"/>
      <w:sz w:val="22"/>
      <w:szCs w:val="22"/>
      <w:u w:val="none"/>
    </w:rPr>
  </w:style>
  <w:style w:type="character" w:customStyle="1" w:styleId="64">
    <w:name w:val="font11"/>
    <w:basedOn w:val="30"/>
    <w:qFormat/>
    <w:uiPriority w:val="0"/>
    <w:rPr>
      <w:rFonts w:hint="eastAsia" w:ascii="宋体" w:hAnsi="宋体" w:eastAsia="宋体" w:cs="宋体"/>
      <w:color w:val="000000"/>
      <w:sz w:val="22"/>
      <w:szCs w:val="22"/>
      <w:u w:val="none"/>
    </w:rPr>
  </w:style>
  <w:style w:type="character" w:customStyle="1" w:styleId="65">
    <w:name w:val="font112"/>
    <w:basedOn w:val="30"/>
    <w:qFormat/>
    <w:uiPriority w:val="0"/>
    <w:rPr>
      <w:rFonts w:hint="eastAsia" w:ascii="宋体" w:hAnsi="宋体" w:eastAsia="宋体" w:cs="宋体"/>
      <w:b/>
      <w:bCs/>
      <w:color w:val="000000"/>
      <w:sz w:val="20"/>
      <w:szCs w:val="20"/>
      <w:u w:val="none"/>
    </w:rPr>
  </w:style>
  <w:style w:type="character" w:customStyle="1" w:styleId="66">
    <w:name w:val="font151"/>
    <w:basedOn w:val="3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08F16C-90CF-4F0F-8604-A302C3CD403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26</Pages>
  <Words>11775</Words>
  <Characters>12348</Characters>
  <Lines>351</Lines>
  <Paragraphs>98</Paragraphs>
  <TotalTime>1</TotalTime>
  <ScaleCrop>false</ScaleCrop>
  <LinksUpToDate>false</LinksUpToDate>
  <CharactersWithSpaces>13504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2022-01-04T01:38:00Z</dcterms:created>
  <dc:creator>NTKO</dc:creator>
  <cp:lastModifiedBy>。</cp:lastModifiedBy>
  <cp:lastPrinted>2023-02-17T03:20:00Z</cp:lastPrinted>
  <dcterms:modified xsi:type="dcterms:W3CDTF">2023-11-30T07:53:58Z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A27455CE55C846EB903EE40C8E87E9A7_13</vt:lpwstr>
  </property>
</Properties>
</file>