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备用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照明电源装置系统备件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单一品牌物资说明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eastAsia="宋体" w:cs="宋体"/>
          <w:szCs w:val="21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南宁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轨道交通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号线</w:t>
      </w:r>
      <w:bookmarkStart w:id="0" w:name="_Hlk97538693"/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备用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照明电源装置系统备件</w:t>
      </w:r>
      <w:bookmarkEnd w:id="0"/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设备供应商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为</w:t>
      </w:r>
      <w:r>
        <w:rPr>
          <w:rStyle w:val="10"/>
          <w:rFonts w:hint="eastAsia" w:ascii="仿宋" w:hAnsi="仿宋" w:eastAsia="仿宋" w:cs="仿宋"/>
          <w:sz w:val="32"/>
          <w:szCs w:val="32"/>
          <w:highlight w:val="none"/>
          <w:shd w:val="clear" w:color="auto" w:fill="FFFFFF"/>
          <w:lang w:eastAsia="zh-CN"/>
        </w:rPr>
        <w:t>山东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山大</w:t>
      </w:r>
      <w:r>
        <w:rPr>
          <w:rStyle w:val="10"/>
          <w:rFonts w:hint="eastAsia" w:ascii="仿宋" w:hAnsi="仿宋" w:eastAsia="仿宋" w:cs="仿宋"/>
          <w:sz w:val="32"/>
          <w:szCs w:val="32"/>
          <w:highlight w:val="none"/>
          <w:shd w:val="clear" w:color="auto" w:fill="FFFFFF"/>
          <w:lang w:eastAsia="zh-CN"/>
        </w:rPr>
        <w:t>华天科技集团有限公司</w:t>
      </w:r>
      <w:r>
        <w:rPr>
          <w:rStyle w:val="10"/>
          <w:rFonts w:hint="eastAsia" w:ascii="仿宋" w:hAnsi="仿宋" w:eastAsia="仿宋" w:cs="仿宋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备用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照明电源装置系统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设备需指定品牌的备件主要包括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充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电模块、</w:t>
      </w:r>
      <w:bookmarkStart w:id="1" w:name="_Hlk97626584"/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逆变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模块</w:t>
      </w:r>
      <w:bookmarkEnd w:id="1"/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、</w:t>
      </w:r>
      <w:bookmarkStart w:id="2" w:name="_Hlk97626848"/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驱动板、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电池巡检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模块、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旁路模块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、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支路监测模块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、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应急灯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、</w:t>
      </w:r>
      <w:bookmarkEnd w:id="2"/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疏散指示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等。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备用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照明电源装置系统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设备负责对全线地下车站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设备区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及车辆基地设置的各种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应急照明、疏散指示灯具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进行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供电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和控制，当车站或车辆基地发生火灾事故时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及大面积停电情况下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启动应急照明，为应急疏散工作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有效地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开展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，从而保障人身安全。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上述设备具有模块化结构、逻辑关联的特点，由于不同品牌、型号的装置在接口、程序等方面存在差异，需要指定单一品牌及型号，理由如下：</w:t>
      </w:r>
      <w:r>
        <w:rPr>
          <w:rFonts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一、备用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照明电源装置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设备箱体及箱内结构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是由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各个厂商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自主研发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安装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并调试完成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，每个备件规格尺寸都不相同。管理系统是各个厂商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自主研发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，系统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软件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及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运行程序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、通讯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做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特别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处理，如使用其他厂家的设备，存在不兼容的问题且需要重新进行调试</w:t>
      </w:r>
      <w:r>
        <w:rPr>
          <w:rFonts w:ascii="仿宋" w:hAnsi="仿宋" w:eastAsia="仿宋" w:cs="仿宋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不同厂家的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备用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照明电源装置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设备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只能适应自己的产品，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</w:t>
      </w:r>
      <w:r>
        <w:rPr>
          <w:rFonts w:ascii="仿宋" w:hAnsi="仿宋" w:eastAsia="仿宋" w:cs="仿宋"/>
          <w:sz w:val="32"/>
          <w:szCs w:val="32"/>
          <w:highlight w:val="none"/>
        </w:rPr>
        <w:t>果使用不同品牌的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备用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照明电源装置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备件</w:t>
      </w:r>
      <w:r>
        <w:rPr>
          <w:rFonts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在结构、性能、参数设置、硬软件接口等方面存在差异，存在兼容性差、通讯不稳定、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设备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之间数据无法交换等不可预估的风险。需投入大量的人力、物力进行改造及调试，增加运营成本。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ascii="仿宋" w:hAnsi="仿宋" w:eastAsia="仿宋" w:cs="仿宋"/>
          <w:sz w:val="32"/>
          <w:szCs w:val="32"/>
          <w:highlight w:val="none"/>
        </w:rPr>
        <w:t>综上所述，为保障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备用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照明电源装置</w:t>
      </w:r>
      <w:r>
        <w:rPr>
          <w:rFonts w:ascii="仿宋" w:hAnsi="仿宋" w:eastAsia="仿宋" w:cs="仿宋"/>
          <w:sz w:val="32"/>
          <w:szCs w:val="32"/>
          <w:highlight w:val="none"/>
        </w:rPr>
        <w:t>设备稳定和安全可靠运行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备用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照明电源装置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的备件</w:t>
      </w:r>
      <w:r>
        <w:rPr>
          <w:rFonts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需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指定同一品牌、同一型号的产品。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15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15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南宁轨道交通运营有限公司</w:t>
      </w:r>
    </w:p>
    <w:p>
      <w:pPr>
        <w:spacing w:line="480" w:lineRule="exac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           </w:t>
      </w:r>
      <w:bookmarkStart w:id="3" w:name="_GoBack"/>
      <w:bookmarkEnd w:id="3"/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3MDRhMjZhMGY3Y2QyYTU0ZDczODhjZDlmMDkxMmEifQ=="/>
  </w:docVars>
  <w:rsids>
    <w:rsidRoot w:val="009A629B"/>
    <w:rsid w:val="000A2905"/>
    <w:rsid w:val="000C622E"/>
    <w:rsid w:val="000E6405"/>
    <w:rsid w:val="0010685B"/>
    <w:rsid w:val="00110778"/>
    <w:rsid w:val="00150F0C"/>
    <w:rsid w:val="0016459B"/>
    <w:rsid w:val="002607B9"/>
    <w:rsid w:val="00274CE5"/>
    <w:rsid w:val="00316463"/>
    <w:rsid w:val="00355FD2"/>
    <w:rsid w:val="003D4FF4"/>
    <w:rsid w:val="0042257D"/>
    <w:rsid w:val="004D4660"/>
    <w:rsid w:val="00585931"/>
    <w:rsid w:val="00593753"/>
    <w:rsid w:val="005B4536"/>
    <w:rsid w:val="00635918"/>
    <w:rsid w:val="00636BC5"/>
    <w:rsid w:val="00683C92"/>
    <w:rsid w:val="00685081"/>
    <w:rsid w:val="007315E8"/>
    <w:rsid w:val="00736544"/>
    <w:rsid w:val="00951752"/>
    <w:rsid w:val="009A629B"/>
    <w:rsid w:val="009E26C4"/>
    <w:rsid w:val="00B25C92"/>
    <w:rsid w:val="00C17DAF"/>
    <w:rsid w:val="00D33FAD"/>
    <w:rsid w:val="00D64D0F"/>
    <w:rsid w:val="00D847A4"/>
    <w:rsid w:val="00DB456A"/>
    <w:rsid w:val="00F31201"/>
    <w:rsid w:val="00F53E60"/>
    <w:rsid w:val="00FA7DD5"/>
    <w:rsid w:val="00FB5A5E"/>
    <w:rsid w:val="00FC381A"/>
    <w:rsid w:val="00FC7861"/>
    <w:rsid w:val="01227D26"/>
    <w:rsid w:val="01B3097E"/>
    <w:rsid w:val="01C963F3"/>
    <w:rsid w:val="023E07D9"/>
    <w:rsid w:val="0264611C"/>
    <w:rsid w:val="02B33785"/>
    <w:rsid w:val="02CE4CF1"/>
    <w:rsid w:val="03773C2D"/>
    <w:rsid w:val="04C55779"/>
    <w:rsid w:val="04E11CA6"/>
    <w:rsid w:val="0757624F"/>
    <w:rsid w:val="08054417"/>
    <w:rsid w:val="087F28CF"/>
    <w:rsid w:val="0A8F5D00"/>
    <w:rsid w:val="0BD936D7"/>
    <w:rsid w:val="0CB21C2E"/>
    <w:rsid w:val="0D845A15"/>
    <w:rsid w:val="0DAB643C"/>
    <w:rsid w:val="0E0D1CCB"/>
    <w:rsid w:val="0E705455"/>
    <w:rsid w:val="0EDD34DE"/>
    <w:rsid w:val="0F824086"/>
    <w:rsid w:val="104C0668"/>
    <w:rsid w:val="120C5F03"/>
    <w:rsid w:val="126B090C"/>
    <w:rsid w:val="131E2317"/>
    <w:rsid w:val="13A24CF6"/>
    <w:rsid w:val="14DC5D4E"/>
    <w:rsid w:val="155273C1"/>
    <w:rsid w:val="16005D04"/>
    <w:rsid w:val="165F2A2B"/>
    <w:rsid w:val="16780957"/>
    <w:rsid w:val="16D42662"/>
    <w:rsid w:val="181627C8"/>
    <w:rsid w:val="19B476E4"/>
    <w:rsid w:val="1B487EC6"/>
    <w:rsid w:val="1B9B4505"/>
    <w:rsid w:val="1BAB04C0"/>
    <w:rsid w:val="1BF9122C"/>
    <w:rsid w:val="1C64346B"/>
    <w:rsid w:val="1DFF2E17"/>
    <w:rsid w:val="1FE521F3"/>
    <w:rsid w:val="201605FE"/>
    <w:rsid w:val="21130FE1"/>
    <w:rsid w:val="21145AB7"/>
    <w:rsid w:val="21EA1D42"/>
    <w:rsid w:val="22857CBD"/>
    <w:rsid w:val="234D35B4"/>
    <w:rsid w:val="240C33FA"/>
    <w:rsid w:val="24C70119"/>
    <w:rsid w:val="25633AB1"/>
    <w:rsid w:val="25AE086C"/>
    <w:rsid w:val="261C3126"/>
    <w:rsid w:val="26EF237F"/>
    <w:rsid w:val="276E51C4"/>
    <w:rsid w:val="27E7087F"/>
    <w:rsid w:val="285825A4"/>
    <w:rsid w:val="28B1662D"/>
    <w:rsid w:val="299F227B"/>
    <w:rsid w:val="2A314286"/>
    <w:rsid w:val="2B746B21"/>
    <w:rsid w:val="2BEC59DA"/>
    <w:rsid w:val="2D1229E5"/>
    <w:rsid w:val="2D61380E"/>
    <w:rsid w:val="2D797B26"/>
    <w:rsid w:val="2E7F627B"/>
    <w:rsid w:val="2F1617AF"/>
    <w:rsid w:val="2FD951A4"/>
    <w:rsid w:val="30B321D1"/>
    <w:rsid w:val="334C2447"/>
    <w:rsid w:val="33865643"/>
    <w:rsid w:val="33B02C78"/>
    <w:rsid w:val="34164C19"/>
    <w:rsid w:val="35BFB830"/>
    <w:rsid w:val="35CD57AB"/>
    <w:rsid w:val="365945E2"/>
    <w:rsid w:val="37F52D97"/>
    <w:rsid w:val="3821689A"/>
    <w:rsid w:val="3A1717DB"/>
    <w:rsid w:val="3AF6412D"/>
    <w:rsid w:val="3B0F5F1E"/>
    <w:rsid w:val="3B473D99"/>
    <w:rsid w:val="3BCF3368"/>
    <w:rsid w:val="3CB30644"/>
    <w:rsid w:val="3CDB2172"/>
    <w:rsid w:val="3CEF24AB"/>
    <w:rsid w:val="3D6E33D0"/>
    <w:rsid w:val="3DC30B58"/>
    <w:rsid w:val="3DD34C0A"/>
    <w:rsid w:val="3E2B7513"/>
    <w:rsid w:val="3E522CF1"/>
    <w:rsid w:val="3E90381A"/>
    <w:rsid w:val="3EA97A72"/>
    <w:rsid w:val="408B4B2C"/>
    <w:rsid w:val="41766CF7"/>
    <w:rsid w:val="41D20149"/>
    <w:rsid w:val="42526646"/>
    <w:rsid w:val="4296667D"/>
    <w:rsid w:val="43882D11"/>
    <w:rsid w:val="43B104BA"/>
    <w:rsid w:val="44184095"/>
    <w:rsid w:val="45E13565"/>
    <w:rsid w:val="45EF0710"/>
    <w:rsid w:val="45FE27EA"/>
    <w:rsid w:val="4603688D"/>
    <w:rsid w:val="46202C50"/>
    <w:rsid w:val="4A783AE0"/>
    <w:rsid w:val="4A873D23"/>
    <w:rsid w:val="4AA46683"/>
    <w:rsid w:val="4BF61160"/>
    <w:rsid w:val="4C8D5DA7"/>
    <w:rsid w:val="4C983FC5"/>
    <w:rsid w:val="4D371A30"/>
    <w:rsid w:val="4E66544D"/>
    <w:rsid w:val="4EFF6FA4"/>
    <w:rsid w:val="4F0E2BAA"/>
    <w:rsid w:val="4F14470E"/>
    <w:rsid w:val="51887260"/>
    <w:rsid w:val="51C47550"/>
    <w:rsid w:val="52250584"/>
    <w:rsid w:val="53447F68"/>
    <w:rsid w:val="54FB799B"/>
    <w:rsid w:val="55545149"/>
    <w:rsid w:val="55A215DF"/>
    <w:rsid w:val="55CA5144"/>
    <w:rsid w:val="569A3030"/>
    <w:rsid w:val="56C35B5B"/>
    <w:rsid w:val="57DB521C"/>
    <w:rsid w:val="57FD5624"/>
    <w:rsid w:val="5A70058C"/>
    <w:rsid w:val="5A8B33BB"/>
    <w:rsid w:val="5AF30F60"/>
    <w:rsid w:val="5B1A473F"/>
    <w:rsid w:val="5BB4249E"/>
    <w:rsid w:val="5C0A47B4"/>
    <w:rsid w:val="5CC02819"/>
    <w:rsid w:val="5D7977BE"/>
    <w:rsid w:val="5D7E7207"/>
    <w:rsid w:val="5DDB6408"/>
    <w:rsid w:val="5E4E5DAE"/>
    <w:rsid w:val="5E654C7E"/>
    <w:rsid w:val="5EC944B2"/>
    <w:rsid w:val="6242370F"/>
    <w:rsid w:val="626C71FB"/>
    <w:rsid w:val="62E23D94"/>
    <w:rsid w:val="63AA2C3F"/>
    <w:rsid w:val="63C27722"/>
    <w:rsid w:val="64506C28"/>
    <w:rsid w:val="647E7AED"/>
    <w:rsid w:val="64851CC7"/>
    <w:rsid w:val="65037FF2"/>
    <w:rsid w:val="667136F8"/>
    <w:rsid w:val="66770C98"/>
    <w:rsid w:val="671B7875"/>
    <w:rsid w:val="67A8245E"/>
    <w:rsid w:val="688C3DBB"/>
    <w:rsid w:val="691B590A"/>
    <w:rsid w:val="69392234"/>
    <w:rsid w:val="6A23521E"/>
    <w:rsid w:val="6ADE3C0A"/>
    <w:rsid w:val="6B6642F3"/>
    <w:rsid w:val="6C2C46C8"/>
    <w:rsid w:val="6CDE737B"/>
    <w:rsid w:val="6CE907DD"/>
    <w:rsid w:val="6CFA4998"/>
    <w:rsid w:val="6DD80F51"/>
    <w:rsid w:val="6E901A44"/>
    <w:rsid w:val="6E9862AC"/>
    <w:rsid w:val="6EB32A89"/>
    <w:rsid w:val="6ED863CB"/>
    <w:rsid w:val="701D545B"/>
    <w:rsid w:val="71145A61"/>
    <w:rsid w:val="7171411A"/>
    <w:rsid w:val="72817603"/>
    <w:rsid w:val="73714BE6"/>
    <w:rsid w:val="739073C0"/>
    <w:rsid w:val="73CF36F1"/>
    <w:rsid w:val="746F7297"/>
    <w:rsid w:val="748F1016"/>
    <w:rsid w:val="75D27B08"/>
    <w:rsid w:val="76326989"/>
    <w:rsid w:val="78731A3B"/>
    <w:rsid w:val="79181E66"/>
    <w:rsid w:val="7961380D"/>
    <w:rsid w:val="7AE04B8E"/>
    <w:rsid w:val="7C9674F7"/>
    <w:rsid w:val="7C9932BE"/>
    <w:rsid w:val="7E104019"/>
    <w:rsid w:val="7EDF8D1E"/>
    <w:rsid w:val="7F0864D9"/>
    <w:rsid w:val="7F6776A3"/>
    <w:rsid w:val="7F7C9866"/>
    <w:rsid w:val="7FEDFECD"/>
    <w:rsid w:val="BBFDA7B2"/>
    <w:rsid w:val="BD2D07C2"/>
    <w:rsid w:val="BFFBAFD5"/>
    <w:rsid w:val="CBF38242"/>
    <w:rsid w:val="DFFD33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Emphasis"/>
    <w:basedOn w:val="6"/>
    <w:autoRedefine/>
    <w:qFormat/>
    <w:uiPriority w:val="0"/>
    <w:rPr>
      <w:i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font31"/>
    <w:basedOn w:val="6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2">
    <w:name w:val="font11"/>
    <w:basedOn w:val="6"/>
    <w:autoRedefine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3">
    <w:name w:val="font4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61"/>
    <w:basedOn w:val="6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5">
    <w:name w:val="font51"/>
    <w:basedOn w:val="6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6">
    <w:name w:val="font111"/>
    <w:basedOn w:val="6"/>
    <w:qFormat/>
    <w:uiPriority w:val="0"/>
    <w:rPr>
      <w:rFonts w:hint="eastAsia" w:ascii="宋体" w:hAnsi="宋体" w:eastAsia="宋体"/>
      <w:color w:val="333333"/>
      <w:sz w:val="16"/>
      <w:szCs w:val="16"/>
      <w:u w:val="none"/>
    </w:rPr>
  </w:style>
  <w:style w:type="character" w:customStyle="1" w:styleId="17">
    <w:name w:val="font91"/>
    <w:basedOn w:val="6"/>
    <w:autoRedefine/>
    <w:qFormat/>
    <w:uiPriority w:val="0"/>
    <w:rPr>
      <w:rFonts w:hint="default" w:ascii="Arial" w:hAnsi="Arial" w:cs="Arial"/>
      <w:color w:val="333333"/>
      <w:sz w:val="16"/>
      <w:szCs w:val="16"/>
      <w:u w:val="none"/>
    </w:rPr>
  </w:style>
  <w:style w:type="character" w:customStyle="1" w:styleId="18">
    <w:name w:val="font2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57EE6E4D-490B-4335-899F-06E38AB4AD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4</Pages>
  <Words>992</Words>
  <Characters>1120</Characters>
  <Lines>76</Lines>
  <Paragraphs>21</Paragraphs>
  <TotalTime>4</TotalTime>
  <ScaleCrop>false</ScaleCrop>
  <LinksUpToDate>false</LinksUpToDate>
  <CharactersWithSpaces>1175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dell</dc:creator>
  <cp:lastModifiedBy>商橙</cp:lastModifiedBy>
  <dcterms:modified xsi:type="dcterms:W3CDTF">2024-01-22T03:04:35Z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BFFF3530FED34965BE1E334D82D75225</vt:lpwstr>
  </property>
</Properties>
</file>