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bCs/>
          <w:color w:val="auto"/>
          <w:sz w:val="36"/>
          <w:szCs w:val="36"/>
          <w:highlight w:val="none"/>
        </w:rPr>
      </w:pPr>
      <w:r>
        <w:rPr>
          <w:rFonts w:hint="eastAsia" w:ascii="方正小标宋简体" w:hAnsi="宋体" w:eastAsia="方正小标宋简体"/>
          <w:bCs/>
          <w:color w:val="auto"/>
          <w:sz w:val="36"/>
          <w:szCs w:val="36"/>
          <w:highlight w:val="none"/>
        </w:rPr>
        <w:t>南宁轨道交通运营有限公司废矿物油及含矿物油危险废弃物（HW08）出售项目（2024年-2026年）</w:t>
      </w: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jc w:val="center"/>
        <w:rPr>
          <w:rFonts w:ascii="方正小标宋简体" w:hAnsi="宋体" w:eastAsia="方正小标宋简体"/>
          <w:bCs/>
          <w:color w:val="auto"/>
          <w:sz w:val="52"/>
          <w:szCs w:val="52"/>
          <w:highlight w:val="none"/>
        </w:rPr>
      </w:pPr>
      <w:r>
        <w:rPr>
          <w:rFonts w:hint="eastAsia" w:ascii="方正小标宋简体" w:hAnsi="宋体" w:eastAsia="方正小标宋简体" w:cs="宋体"/>
          <w:bCs/>
          <w:color w:val="auto"/>
          <w:sz w:val="52"/>
          <w:szCs w:val="52"/>
          <w:highlight w:val="none"/>
        </w:rPr>
        <w:t>用 户 需 求 书</w:t>
      </w: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b/>
          <w:bCs/>
          <w:color w:val="auto"/>
          <w:sz w:val="44"/>
          <w:szCs w:val="44"/>
          <w:highlight w:val="none"/>
        </w:rPr>
      </w:pPr>
    </w:p>
    <w:p>
      <w:pPr>
        <w:spacing w:line="360" w:lineRule="auto"/>
        <w:rPr>
          <w:rFonts w:ascii="宋体" w:hAnsi="宋体"/>
          <w:b/>
          <w:bCs/>
          <w:color w:val="auto"/>
          <w:sz w:val="44"/>
          <w:szCs w:val="44"/>
          <w:highlight w:val="none"/>
        </w:rPr>
      </w:pPr>
    </w:p>
    <w:p>
      <w:pPr>
        <w:jc w:val="center"/>
        <w:rPr>
          <w:rFonts w:ascii="宋体" w:hAnsi="宋体"/>
          <w:color w:val="auto"/>
          <w:sz w:val="32"/>
          <w:szCs w:val="32"/>
          <w:highlight w:val="none"/>
        </w:rPr>
      </w:pPr>
      <w:r>
        <w:rPr>
          <w:rFonts w:hint="eastAsia" w:ascii="宋体" w:hAnsi="宋体"/>
          <w:color w:val="auto"/>
          <w:sz w:val="32"/>
          <w:szCs w:val="32"/>
          <w:highlight w:val="none"/>
        </w:rPr>
        <w:t>南宁轨道交通运营有限公司</w:t>
      </w:r>
    </w:p>
    <w:p>
      <w:pPr>
        <w:jc w:val="center"/>
        <w:rPr>
          <w:rFonts w:ascii="宋体" w:hAnsi="宋体"/>
          <w:color w:val="auto"/>
          <w:sz w:val="32"/>
          <w:szCs w:val="32"/>
          <w:highlight w:val="none"/>
        </w:rPr>
      </w:pPr>
      <w:r>
        <w:rPr>
          <w:rFonts w:hint="eastAsia" w:ascii="宋体" w:hAnsi="宋体"/>
          <w:color w:val="auto"/>
          <w:sz w:val="32"/>
          <w:szCs w:val="32"/>
          <w:highlight w:val="none"/>
        </w:rPr>
        <w:t>2023年</w:t>
      </w:r>
      <w:r>
        <w:rPr>
          <w:rFonts w:hint="eastAsia" w:ascii="宋体" w:hAnsi="宋体"/>
          <w:color w:val="auto"/>
          <w:sz w:val="32"/>
          <w:szCs w:val="32"/>
          <w:highlight w:val="none"/>
          <w:lang w:val="en-US" w:eastAsia="zh-CN"/>
        </w:rPr>
        <w:t>5</w:t>
      </w:r>
      <w:r>
        <w:rPr>
          <w:rFonts w:hint="eastAsia" w:ascii="宋体" w:hAnsi="宋体"/>
          <w:color w:val="auto"/>
          <w:sz w:val="32"/>
          <w:szCs w:val="32"/>
          <w:highlight w:val="none"/>
        </w:rPr>
        <w:t>月</w:t>
      </w:r>
      <w:r>
        <w:rPr>
          <w:rFonts w:hint="eastAsia" w:ascii="宋体" w:hAnsi="宋体"/>
          <w:color w:val="auto"/>
          <w:sz w:val="32"/>
          <w:szCs w:val="32"/>
          <w:highlight w:val="none"/>
          <w:lang w:val="en-US" w:eastAsia="zh-CN"/>
        </w:rPr>
        <w:t>5</w:t>
      </w:r>
      <w:r>
        <w:rPr>
          <w:rFonts w:hint="eastAsia" w:ascii="宋体" w:hAnsi="宋体"/>
          <w:color w:val="auto"/>
          <w:sz w:val="32"/>
          <w:szCs w:val="32"/>
          <w:highlight w:val="none"/>
        </w:rPr>
        <w:t>日</w:t>
      </w:r>
    </w:p>
    <w:p>
      <w:pPr>
        <w:rPr>
          <w:color w:val="auto"/>
          <w:highlight w:val="none"/>
        </w:rPr>
      </w:pPr>
    </w:p>
    <w:p>
      <w:pPr>
        <w:pStyle w:val="2"/>
        <w:ind w:left="420"/>
        <w:rPr>
          <w:color w:val="auto"/>
          <w:highlight w:val="none"/>
        </w:rPr>
      </w:pPr>
    </w:p>
    <w:p>
      <w:pPr>
        <w:pStyle w:val="2"/>
        <w:ind w:left="420"/>
        <w:rPr>
          <w:color w:val="auto"/>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Style w:val="2"/>
        <w:ind w:left="0" w:leftChars="0"/>
        <w:rPr>
          <w:color w:val="auto"/>
          <w:highlight w:val="none"/>
        </w:rPr>
      </w:pPr>
    </w:p>
    <w:p>
      <w:pPr>
        <w:jc w:val="center"/>
        <w:rPr>
          <w:rFonts w:ascii="宋体" w:hAnsi="宋体"/>
          <w:b/>
          <w:color w:val="auto"/>
          <w:sz w:val="18"/>
          <w:szCs w:val="18"/>
          <w:highlight w:val="none"/>
          <w:lang w:val="zh-CN"/>
        </w:rPr>
      </w:pPr>
      <w:r>
        <w:rPr>
          <w:rFonts w:ascii="宋体" w:hAnsi="宋体"/>
          <w:b/>
          <w:color w:val="auto"/>
          <w:sz w:val="52"/>
          <w:szCs w:val="52"/>
          <w:highlight w:val="none"/>
          <w:lang w:val="zh-CN"/>
        </w:rPr>
        <w:t>目</w:t>
      </w:r>
      <w:r>
        <w:rPr>
          <w:rFonts w:hint="eastAsia" w:ascii="宋体" w:hAnsi="宋体"/>
          <w:b/>
          <w:color w:val="auto"/>
          <w:sz w:val="52"/>
          <w:szCs w:val="52"/>
          <w:highlight w:val="none"/>
          <w:lang w:val="zh-CN"/>
        </w:rPr>
        <w:t xml:space="preserve">  </w:t>
      </w:r>
      <w:r>
        <w:rPr>
          <w:rFonts w:ascii="宋体" w:hAnsi="宋体"/>
          <w:b/>
          <w:color w:val="auto"/>
          <w:sz w:val="52"/>
          <w:szCs w:val="52"/>
          <w:highlight w:val="none"/>
          <w:lang w:val="zh-CN"/>
        </w:rPr>
        <w:t>录</w:t>
      </w:r>
    </w:p>
    <w:p>
      <w:pPr>
        <w:rPr>
          <w:color w:val="auto"/>
          <w:highlight w:val="none"/>
          <w:lang w:val="zh-CN"/>
        </w:rPr>
      </w:pPr>
    </w:p>
    <w:p>
      <w:pPr>
        <w:pStyle w:val="6"/>
        <w:tabs>
          <w:tab w:val="right" w:leader="dot" w:pos="9049"/>
        </w:tabs>
        <w:autoSpaceDE/>
        <w:autoSpaceDN/>
        <w:adjustRightInd/>
        <w:spacing w:line="500" w:lineRule="exact"/>
        <w:rPr>
          <w:color w:val="auto"/>
          <w:highlight w:val="none"/>
        </w:rPr>
      </w:pPr>
      <w:r>
        <w:rPr>
          <w:color w:val="auto"/>
          <w:highlight w:val="none"/>
        </w:rPr>
        <w:fldChar w:fldCharType="begin"/>
      </w:r>
      <w:r>
        <w:rPr>
          <w:color w:val="auto"/>
          <w:highlight w:val="none"/>
        </w:rPr>
        <w:instrText xml:space="preserve"> HYPERLINK \l "_Toc478" </w:instrText>
      </w:r>
      <w:r>
        <w:rPr>
          <w:color w:val="auto"/>
          <w:highlight w:val="none"/>
        </w:rPr>
        <w:fldChar w:fldCharType="separate"/>
      </w:r>
      <w:r>
        <w:rPr>
          <w:rFonts w:hint="eastAsia"/>
          <w:color w:val="auto"/>
          <w:highlight w:val="none"/>
        </w:rPr>
        <w:t>一</w:t>
      </w:r>
      <w:r>
        <w:rPr>
          <w:rFonts w:hint="eastAsia"/>
          <w:color w:val="auto"/>
          <w:szCs w:val="28"/>
          <w:highlight w:val="none"/>
        </w:rPr>
        <w:t>、项目目标</w:t>
      </w:r>
      <w:r>
        <w:rPr>
          <w:color w:val="auto"/>
          <w:highlight w:val="none"/>
        </w:rPr>
        <w:tab/>
      </w:r>
      <w:r>
        <w:rPr>
          <w:rFonts w:hint="eastAsia"/>
          <w:color w:val="auto"/>
          <w:highlight w:val="none"/>
        </w:rPr>
        <w:t>3</w:t>
      </w:r>
      <w:r>
        <w:rPr>
          <w:rFonts w:hint="eastAsia"/>
          <w:color w:val="auto"/>
          <w:highlight w:val="none"/>
        </w:rPr>
        <w:fldChar w:fldCharType="end"/>
      </w:r>
    </w:p>
    <w:p>
      <w:pPr>
        <w:pStyle w:val="6"/>
        <w:tabs>
          <w:tab w:val="right" w:leader="dot" w:pos="9049"/>
        </w:tabs>
        <w:autoSpaceDE/>
        <w:autoSpaceDN/>
        <w:adjustRightInd/>
        <w:spacing w:line="500" w:lineRule="exact"/>
        <w:rPr>
          <w:color w:val="auto"/>
          <w:highlight w:val="none"/>
        </w:rPr>
      </w:pPr>
      <w:r>
        <w:rPr>
          <w:color w:val="auto"/>
          <w:highlight w:val="none"/>
        </w:rPr>
        <w:fldChar w:fldCharType="begin"/>
      </w:r>
      <w:r>
        <w:rPr>
          <w:color w:val="auto"/>
          <w:highlight w:val="none"/>
        </w:rPr>
        <w:instrText xml:space="preserve"> HYPERLINK \l "_Toc21442" </w:instrText>
      </w:r>
      <w:r>
        <w:rPr>
          <w:color w:val="auto"/>
          <w:highlight w:val="none"/>
        </w:rPr>
        <w:fldChar w:fldCharType="separate"/>
      </w:r>
      <w:r>
        <w:rPr>
          <w:rFonts w:hint="eastAsia"/>
          <w:color w:val="auto"/>
          <w:szCs w:val="28"/>
          <w:highlight w:val="none"/>
        </w:rPr>
        <w:t>二、项目依据及标准</w:t>
      </w:r>
      <w:r>
        <w:rPr>
          <w:color w:val="auto"/>
          <w:highlight w:val="none"/>
        </w:rPr>
        <w:tab/>
      </w:r>
      <w:r>
        <w:rPr>
          <w:rFonts w:hint="eastAsia"/>
          <w:color w:val="auto"/>
          <w:highlight w:val="none"/>
        </w:rPr>
        <w:t>3</w:t>
      </w:r>
      <w:r>
        <w:rPr>
          <w:rFonts w:hint="eastAsia"/>
          <w:color w:val="auto"/>
          <w:highlight w:val="none"/>
        </w:rPr>
        <w:fldChar w:fldCharType="end"/>
      </w:r>
    </w:p>
    <w:p>
      <w:pPr>
        <w:pStyle w:val="6"/>
        <w:tabs>
          <w:tab w:val="right" w:leader="dot" w:pos="9049"/>
        </w:tabs>
        <w:autoSpaceDE/>
        <w:autoSpaceDN/>
        <w:adjustRightInd/>
        <w:spacing w:line="500" w:lineRule="exact"/>
        <w:rPr>
          <w:color w:val="auto"/>
          <w:highlight w:val="none"/>
        </w:rPr>
      </w:pPr>
      <w:r>
        <w:rPr>
          <w:color w:val="auto"/>
          <w:highlight w:val="none"/>
        </w:rPr>
        <w:fldChar w:fldCharType="begin"/>
      </w:r>
      <w:r>
        <w:rPr>
          <w:color w:val="auto"/>
          <w:highlight w:val="none"/>
        </w:rPr>
        <w:instrText xml:space="preserve"> HYPERLINK \l "_Toc20551" </w:instrText>
      </w:r>
      <w:r>
        <w:rPr>
          <w:color w:val="auto"/>
          <w:highlight w:val="none"/>
        </w:rPr>
        <w:fldChar w:fldCharType="separate"/>
      </w:r>
      <w:r>
        <w:rPr>
          <w:rFonts w:hint="eastAsia"/>
          <w:color w:val="auto"/>
          <w:szCs w:val="28"/>
          <w:highlight w:val="none"/>
        </w:rPr>
        <w:t>三、项目内容及要求</w:t>
      </w:r>
      <w:r>
        <w:rPr>
          <w:color w:val="auto"/>
          <w:highlight w:val="none"/>
        </w:rPr>
        <w:tab/>
      </w:r>
      <w:r>
        <w:rPr>
          <w:color w:val="auto"/>
          <w:highlight w:val="none"/>
        </w:rPr>
        <w:fldChar w:fldCharType="begin"/>
      </w:r>
      <w:r>
        <w:rPr>
          <w:color w:val="auto"/>
          <w:highlight w:val="none"/>
        </w:rPr>
        <w:instrText xml:space="preserve"> PAGEREF _Toc20551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6"/>
        <w:tabs>
          <w:tab w:val="right" w:leader="dot" w:pos="9049"/>
        </w:tabs>
        <w:autoSpaceDE/>
        <w:autoSpaceDN/>
        <w:adjustRightInd/>
        <w:spacing w:line="500" w:lineRule="exact"/>
        <w:rPr>
          <w:color w:val="auto"/>
          <w:highlight w:val="none"/>
        </w:rPr>
      </w:pPr>
      <w:r>
        <w:rPr>
          <w:color w:val="auto"/>
          <w:highlight w:val="none"/>
        </w:rPr>
        <w:fldChar w:fldCharType="begin"/>
      </w:r>
      <w:r>
        <w:rPr>
          <w:color w:val="auto"/>
          <w:highlight w:val="none"/>
        </w:rPr>
        <w:instrText xml:space="preserve"> HYPERLINK \l "_Toc2140" </w:instrText>
      </w:r>
      <w:r>
        <w:rPr>
          <w:color w:val="auto"/>
          <w:highlight w:val="none"/>
        </w:rPr>
        <w:fldChar w:fldCharType="separate"/>
      </w:r>
      <w:r>
        <w:rPr>
          <w:rFonts w:hint="eastAsia"/>
          <w:color w:val="auto"/>
          <w:szCs w:val="28"/>
          <w:highlight w:val="none"/>
        </w:rPr>
        <w:t>四、项目服务期限</w:t>
      </w:r>
      <w:r>
        <w:rPr>
          <w:color w:val="auto"/>
          <w:highlight w:val="none"/>
        </w:rPr>
        <w:tab/>
      </w:r>
      <w:r>
        <w:rPr>
          <w:rFonts w:hint="eastAsia"/>
          <w:color w:val="auto"/>
          <w:highlight w:val="none"/>
        </w:rPr>
        <w:t>6</w:t>
      </w:r>
      <w:r>
        <w:rPr>
          <w:rFonts w:hint="eastAsia"/>
          <w:color w:val="auto"/>
          <w:highlight w:val="none"/>
        </w:rPr>
        <w:fldChar w:fldCharType="end"/>
      </w:r>
    </w:p>
    <w:p>
      <w:pPr>
        <w:pStyle w:val="6"/>
        <w:tabs>
          <w:tab w:val="right" w:leader="dot" w:pos="9049"/>
        </w:tabs>
        <w:autoSpaceDE/>
        <w:autoSpaceDN/>
        <w:adjustRightInd/>
        <w:spacing w:line="500" w:lineRule="exact"/>
        <w:rPr>
          <w:color w:val="auto"/>
          <w:highlight w:val="none"/>
        </w:rPr>
      </w:pPr>
      <w:r>
        <w:rPr>
          <w:color w:val="auto"/>
          <w:highlight w:val="none"/>
        </w:rPr>
        <w:fldChar w:fldCharType="begin"/>
      </w:r>
      <w:r>
        <w:rPr>
          <w:color w:val="auto"/>
          <w:highlight w:val="none"/>
        </w:rPr>
        <w:instrText xml:space="preserve"> HYPERLINK \l "_Toc28589" </w:instrText>
      </w:r>
      <w:r>
        <w:rPr>
          <w:color w:val="auto"/>
          <w:highlight w:val="none"/>
        </w:rPr>
        <w:fldChar w:fldCharType="separate"/>
      </w:r>
      <w:r>
        <w:rPr>
          <w:rFonts w:hint="eastAsia"/>
          <w:color w:val="auto"/>
          <w:highlight w:val="none"/>
          <w:lang w:val="en-US" w:eastAsia="zh-CN"/>
        </w:rPr>
        <w:t>五</w:t>
      </w:r>
      <w:r>
        <w:rPr>
          <w:rFonts w:hint="eastAsia"/>
          <w:color w:val="auto"/>
          <w:szCs w:val="28"/>
          <w:highlight w:val="none"/>
        </w:rPr>
        <w:t>、人员要求</w:t>
      </w:r>
      <w:r>
        <w:rPr>
          <w:color w:val="auto"/>
          <w:highlight w:val="none"/>
        </w:rPr>
        <w:tab/>
      </w:r>
      <w:r>
        <w:rPr>
          <w:color w:val="auto"/>
          <w:highlight w:val="none"/>
        </w:rPr>
        <w:fldChar w:fldCharType="begin"/>
      </w:r>
      <w:r>
        <w:rPr>
          <w:color w:val="auto"/>
          <w:highlight w:val="none"/>
        </w:rPr>
        <w:instrText xml:space="preserve"> PAGEREF _Toc28589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rPr>
          <w:color w:val="auto"/>
          <w:highlight w:val="none"/>
        </w:rPr>
      </w:pPr>
    </w:p>
    <w:p>
      <w:pPr>
        <w:pStyle w:val="2"/>
        <w:ind w:left="420"/>
        <w:rPr>
          <w:color w:val="auto"/>
          <w:highlight w:val="none"/>
        </w:rPr>
        <w:sectPr>
          <w:footerReference r:id="rId3" w:type="default"/>
          <w:pgSz w:w="11906" w:h="16838"/>
          <w:pgMar w:top="1440" w:right="1800" w:bottom="1440" w:left="1800" w:header="851" w:footer="992" w:gutter="0"/>
          <w:cols w:space="425" w:num="1"/>
          <w:docGrid w:type="lines" w:linePitch="312" w:charSpace="0"/>
        </w:sectPr>
      </w:pPr>
    </w:p>
    <w:p>
      <w:pPr>
        <w:pStyle w:val="4"/>
        <w:spacing w:before="0" w:after="0"/>
        <w:rPr>
          <w:color w:val="auto"/>
          <w:highlight w:val="none"/>
        </w:rPr>
      </w:pPr>
      <w:bookmarkStart w:id="0" w:name="_Toc478"/>
      <w:r>
        <w:rPr>
          <w:rFonts w:hint="eastAsia"/>
          <w:color w:val="auto"/>
          <w:highlight w:val="none"/>
        </w:rPr>
        <w:t>一、项目目标</w:t>
      </w:r>
      <w:bookmarkEnd w:id="0"/>
    </w:p>
    <w:p>
      <w:pPr>
        <w:pStyle w:val="4"/>
        <w:spacing w:before="0" w:after="0" w:line="360" w:lineRule="auto"/>
        <w:ind w:firstLine="420" w:firstLineChars="200"/>
        <w:rPr>
          <w:color w:val="auto"/>
          <w:szCs w:val="28"/>
          <w:highlight w:val="none"/>
        </w:rPr>
      </w:pPr>
      <w:r>
        <w:rPr>
          <w:rFonts w:hint="eastAsia" w:ascii="宋体" w:hAnsi="宋体" w:cs="仿宋"/>
          <w:b w:val="0"/>
          <w:bCs w:val="0"/>
          <w:color w:val="auto"/>
          <w:kern w:val="2"/>
          <w:sz w:val="21"/>
          <w:szCs w:val="21"/>
          <w:highlight w:val="none"/>
        </w:rPr>
        <w:t>完成南宁轨道交通运营有限公司在生产和经营过程中产生</w:t>
      </w:r>
      <w:r>
        <w:rPr>
          <w:rFonts w:hint="eastAsia" w:ascii="宋体" w:hAnsi="宋体" w:cs="仿宋"/>
          <w:b w:val="0"/>
          <w:bCs w:val="0"/>
          <w:color w:val="auto"/>
          <w:kern w:val="2"/>
          <w:sz w:val="21"/>
          <w:szCs w:val="21"/>
          <w:highlight w:val="none"/>
          <w:lang w:eastAsia="zh-CN"/>
        </w:rPr>
        <w:t>废矿物油及含矿物油危险废弃物</w:t>
      </w:r>
      <w:r>
        <w:rPr>
          <w:rFonts w:hint="eastAsia" w:ascii="宋体" w:hAnsi="宋体" w:cs="仿宋"/>
          <w:b w:val="0"/>
          <w:bCs w:val="0"/>
          <w:color w:val="auto"/>
          <w:kern w:val="2"/>
          <w:sz w:val="21"/>
          <w:szCs w:val="21"/>
          <w:highlight w:val="none"/>
        </w:rPr>
        <w:t>的处置、处理。</w:t>
      </w:r>
      <w:r>
        <w:rPr>
          <w:rFonts w:hint="eastAsia" w:ascii="宋体" w:hAnsi="宋体" w:cs="仿宋"/>
          <w:color w:val="auto"/>
          <w:kern w:val="2"/>
          <w:sz w:val="21"/>
          <w:szCs w:val="21"/>
          <w:highlight w:val="none"/>
        </w:rPr>
        <w:br w:type="textWrapping"/>
      </w:r>
      <w:r>
        <w:rPr>
          <w:rFonts w:hint="eastAsia"/>
          <w:color w:val="auto"/>
          <w:highlight w:val="none"/>
        </w:rPr>
        <w:t>二、</w:t>
      </w:r>
      <w:r>
        <w:rPr>
          <w:rFonts w:hint="eastAsia"/>
          <w:color w:val="auto"/>
          <w:szCs w:val="28"/>
          <w:highlight w:val="none"/>
        </w:rPr>
        <w:t>项目依据及标准</w:t>
      </w:r>
    </w:p>
    <w:p>
      <w:pPr>
        <w:numPr>
          <w:ilvl w:val="0"/>
          <w:numId w:val="1"/>
        </w:numPr>
        <w:autoSpaceDE w:val="0"/>
        <w:autoSpaceDN w:val="0"/>
        <w:adjustRightInd w:val="0"/>
        <w:spacing w:line="360" w:lineRule="auto"/>
        <w:ind w:firstLine="413" w:firstLineChars="196"/>
        <w:outlineLvl w:val="2"/>
        <w:rPr>
          <w:rFonts w:ascii="宋体" w:hAnsi="宋体" w:cs="仿宋"/>
          <w:b/>
          <w:bCs/>
          <w:color w:val="auto"/>
          <w:szCs w:val="21"/>
          <w:highlight w:val="none"/>
        </w:rPr>
      </w:pPr>
      <w:r>
        <w:rPr>
          <w:rFonts w:hint="eastAsia" w:ascii="宋体" w:hAnsi="宋体" w:cs="仿宋"/>
          <w:b/>
          <w:bCs/>
          <w:color w:val="auto"/>
          <w:szCs w:val="21"/>
          <w:highlight w:val="none"/>
        </w:rPr>
        <w:t>项目依据</w:t>
      </w:r>
    </w:p>
    <w:p>
      <w:pPr>
        <w:pStyle w:val="4"/>
        <w:spacing w:before="0" w:after="0" w:line="360" w:lineRule="auto"/>
        <w:ind w:firstLine="420" w:firstLineChars="200"/>
        <w:rPr>
          <w:rFonts w:asciiTheme="majorEastAsia" w:hAnsiTheme="majorEastAsia" w:eastAsiaTheme="majorEastAsia" w:cstheme="majorEastAsia"/>
          <w:b w:val="0"/>
          <w:bCs w:val="0"/>
          <w:color w:val="auto"/>
          <w:kern w:val="2"/>
          <w:sz w:val="21"/>
          <w:szCs w:val="21"/>
          <w:highlight w:val="none"/>
        </w:rPr>
      </w:pPr>
      <w:r>
        <w:rPr>
          <w:rFonts w:hint="eastAsia" w:asciiTheme="majorEastAsia" w:hAnsiTheme="majorEastAsia" w:eastAsiaTheme="majorEastAsia" w:cstheme="majorEastAsia"/>
          <w:b w:val="0"/>
          <w:bCs w:val="0"/>
          <w:color w:val="auto"/>
          <w:kern w:val="2"/>
          <w:sz w:val="21"/>
          <w:szCs w:val="21"/>
          <w:highlight w:val="none"/>
        </w:rPr>
        <w:t>《运营公司危险废弃物资回收处置管理办法》</w:t>
      </w:r>
    </w:p>
    <w:p>
      <w:pPr>
        <w:ind w:firstLine="420" w:firstLineChars="200"/>
        <w:rPr>
          <w:color w:val="auto"/>
          <w:highlight w:val="none"/>
        </w:rPr>
      </w:pPr>
      <w:r>
        <w:rPr>
          <w:rFonts w:hint="eastAsia"/>
          <w:color w:val="auto"/>
          <w:highlight w:val="none"/>
        </w:rPr>
        <w:t>《运营公司废旧生产物资回收处置管理办法》</w:t>
      </w:r>
    </w:p>
    <w:p>
      <w:pPr>
        <w:numPr>
          <w:ilvl w:val="0"/>
          <w:numId w:val="1"/>
        </w:numPr>
        <w:autoSpaceDE w:val="0"/>
        <w:autoSpaceDN w:val="0"/>
        <w:adjustRightInd w:val="0"/>
        <w:spacing w:line="360" w:lineRule="auto"/>
        <w:ind w:firstLine="413" w:firstLineChars="196"/>
        <w:outlineLvl w:val="2"/>
        <w:rPr>
          <w:rFonts w:ascii="宋体" w:hAnsi="宋体" w:cs="仿宋"/>
          <w:b/>
          <w:bCs/>
          <w:color w:val="auto"/>
          <w:szCs w:val="21"/>
          <w:highlight w:val="none"/>
        </w:rPr>
      </w:pPr>
      <w:r>
        <w:rPr>
          <w:rFonts w:hint="eastAsia" w:ascii="宋体" w:hAnsi="宋体" w:cs="仿宋"/>
          <w:b/>
          <w:bCs/>
          <w:color w:val="auto"/>
          <w:szCs w:val="21"/>
          <w:highlight w:val="none"/>
        </w:rPr>
        <w:t>本项目实施须符合标准及规范包括但不限于以下标准：</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《废旧物资管理规定》</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《中华人民共和国固体废物污染环境防治法》</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《中华人民共和国环境保护法》</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广西壮族自治区环境保护条例</w:t>
      </w:r>
      <w:r>
        <w:rPr>
          <w:rFonts w:hint="eastAsia" w:ascii="宋体" w:hAnsi="宋体"/>
          <w:color w:val="auto"/>
          <w:szCs w:val="21"/>
          <w:highlight w:val="none"/>
        </w:rPr>
        <w:t>》</w:t>
      </w:r>
    </w:p>
    <w:p>
      <w:pPr>
        <w:widowControl/>
        <w:spacing w:line="360" w:lineRule="auto"/>
        <w:ind w:firstLine="420" w:firstLineChars="200"/>
        <w:jc w:val="left"/>
        <w:rPr>
          <w:color w:val="auto"/>
          <w:highlight w:val="none"/>
        </w:rPr>
      </w:pPr>
      <w:r>
        <w:rPr>
          <w:rFonts w:hint="eastAsia" w:ascii="宋体" w:hAnsi="宋体"/>
          <w:color w:val="auto"/>
          <w:szCs w:val="21"/>
          <w:highlight w:val="none"/>
        </w:rPr>
        <w:t>《广西壮族自治区固体废物污染环境防治条例》</w:t>
      </w:r>
    </w:p>
    <w:p>
      <w:pPr>
        <w:pStyle w:val="9"/>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国家的有关标准；</w:t>
      </w:r>
    </w:p>
    <w:p>
      <w:pPr>
        <w:pStyle w:val="9"/>
        <w:spacing w:line="360" w:lineRule="auto"/>
        <w:rPr>
          <w:rFonts w:ascii="宋体" w:hAnsi="宋体" w:cs="楷体"/>
          <w:b/>
          <w:bCs/>
          <w:color w:val="auto"/>
          <w:szCs w:val="21"/>
          <w:highlight w:val="none"/>
        </w:rPr>
      </w:pPr>
      <w:r>
        <w:rPr>
          <w:rFonts w:hint="eastAsia" w:asciiTheme="minorEastAsia" w:hAnsiTheme="minorEastAsia" w:eastAsiaTheme="minorEastAsia" w:cstheme="minorEastAsia"/>
          <w:color w:val="auto"/>
          <w:kern w:val="0"/>
          <w:szCs w:val="21"/>
          <w:highlight w:val="none"/>
        </w:rPr>
        <w:t>广西壮族自治区、南宁市有关地方法规、标准等。</w:t>
      </w:r>
      <w:r>
        <w:rPr>
          <w:rFonts w:hint="eastAsia"/>
          <w:b/>
          <w:bCs/>
          <w:color w:val="auto"/>
          <w:kern w:val="44"/>
          <w:sz w:val="28"/>
          <w:szCs w:val="44"/>
          <w:highlight w:val="none"/>
        </w:rPr>
        <w:br w:type="textWrapping"/>
      </w:r>
      <w:bookmarkStart w:id="1" w:name="_Toc20551"/>
      <w:r>
        <w:rPr>
          <w:rFonts w:hint="eastAsia"/>
          <w:b/>
          <w:bCs/>
          <w:color w:val="auto"/>
          <w:kern w:val="44"/>
          <w:sz w:val="28"/>
          <w:szCs w:val="44"/>
          <w:highlight w:val="none"/>
        </w:rPr>
        <w:t>三、项目内容及要求</w:t>
      </w:r>
      <w:bookmarkEnd w:id="1"/>
      <w:r>
        <w:rPr>
          <w:rFonts w:hint="eastAsia"/>
          <w:color w:val="auto"/>
          <w:highlight w:val="none"/>
        </w:rPr>
        <w:br w:type="textWrapping"/>
      </w:r>
      <w:r>
        <w:rPr>
          <w:rFonts w:hint="eastAsia"/>
          <w:color w:val="auto"/>
          <w:highlight w:val="none"/>
        </w:rPr>
        <w:t xml:space="preserve">  </w:t>
      </w:r>
      <w:r>
        <w:rPr>
          <w:rFonts w:hint="eastAsia" w:ascii="宋体" w:hAnsi="宋体" w:cs="楷体"/>
          <w:b/>
          <w:bCs/>
          <w:color w:val="auto"/>
          <w:szCs w:val="21"/>
          <w:highlight w:val="none"/>
        </w:rPr>
        <w:t>（一）项目内容</w:t>
      </w:r>
    </w:p>
    <w:p>
      <w:pPr>
        <w:numPr>
          <w:ilvl w:val="0"/>
          <w:numId w:val="2"/>
        </w:numPr>
        <w:spacing w:line="360" w:lineRule="auto"/>
        <w:ind w:firstLine="420" w:firstLineChars="200"/>
        <w:rPr>
          <w:rFonts w:asciiTheme="majorEastAsia" w:hAnsiTheme="majorEastAsia" w:eastAsiaTheme="majorEastAsia" w:cstheme="majorEastAsia"/>
          <w:color w:val="auto"/>
          <w:szCs w:val="21"/>
          <w:highlight w:val="none"/>
        </w:rPr>
      </w:pPr>
      <w:r>
        <w:rPr>
          <w:rFonts w:hint="eastAsia"/>
          <w:color w:val="auto"/>
          <w:highlight w:val="none"/>
        </w:rPr>
        <w:t>对</w:t>
      </w:r>
      <w:r>
        <w:rPr>
          <w:rFonts w:hint="eastAsia" w:ascii="宋体" w:hAnsi="宋体" w:cs="仿宋"/>
          <w:color w:val="auto"/>
          <w:szCs w:val="21"/>
          <w:highlight w:val="none"/>
        </w:rPr>
        <w:t>南宁轨道交通运营有限公司</w:t>
      </w:r>
      <w:r>
        <w:rPr>
          <w:rFonts w:hint="eastAsia"/>
          <w:color w:val="auto"/>
          <w:highlight w:val="none"/>
        </w:rPr>
        <w:t>在生产和经营过程中产生的</w:t>
      </w:r>
      <w:r>
        <w:rPr>
          <w:rFonts w:hint="eastAsia" w:ascii="宋体" w:hAnsi="宋体" w:cs="仿宋"/>
          <w:b w:val="0"/>
          <w:bCs w:val="0"/>
          <w:color w:val="auto"/>
          <w:kern w:val="2"/>
          <w:sz w:val="21"/>
          <w:szCs w:val="21"/>
          <w:highlight w:val="none"/>
          <w:lang w:eastAsia="zh-CN"/>
        </w:rPr>
        <w:t>废矿物油及含矿物油危险废弃物</w:t>
      </w:r>
      <w:r>
        <w:rPr>
          <w:rFonts w:hint="eastAsia"/>
          <w:color w:val="auto"/>
          <w:highlight w:val="none"/>
        </w:rPr>
        <w:t>以固定周期的方式严格按国家相关法律规定进行转运、处置</w:t>
      </w:r>
      <w:r>
        <w:rPr>
          <w:rFonts w:hint="eastAsia" w:asciiTheme="majorEastAsia" w:hAnsiTheme="majorEastAsia" w:eastAsiaTheme="majorEastAsia" w:cstheme="majorEastAsia"/>
          <w:color w:val="auto"/>
          <w:szCs w:val="21"/>
          <w:highlight w:val="none"/>
        </w:rPr>
        <w:t>。</w:t>
      </w:r>
    </w:p>
    <w:p>
      <w:pPr>
        <w:numPr>
          <w:ilvl w:val="0"/>
          <w:numId w:val="2"/>
        </w:numPr>
        <w:spacing w:line="360" w:lineRule="auto"/>
        <w:ind w:firstLine="420" w:firstLineChars="200"/>
        <w:rPr>
          <w:rFonts w:asciiTheme="majorEastAsia" w:hAnsiTheme="majorEastAsia" w:eastAsiaTheme="majorEastAsia" w:cstheme="majorEastAsia"/>
          <w:color w:val="auto"/>
          <w:kern w:val="0"/>
          <w:szCs w:val="21"/>
          <w:highlight w:val="none"/>
        </w:rPr>
      </w:pPr>
      <w:r>
        <w:rPr>
          <w:rFonts w:hint="eastAsia" w:asciiTheme="majorEastAsia" w:hAnsiTheme="majorEastAsia" w:eastAsiaTheme="majorEastAsia" w:cstheme="majorEastAsia"/>
          <w:color w:val="auto"/>
          <w:kern w:val="0"/>
          <w:szCs w:val="21"/>
          <w:highlight w:val="none"/>
        </w:rPr>
        <w:t>项目地点：</w:t>
      </w:r>
      <w:r>
        <w:rPr>
          <w:rFonts w:hint="eastAsia" w:eastAsiaTheme="majorEastAsia"/>
          <w:color w:val="auto"/>
          <w:highlight w:val="none"/>
          <w:lang w:eastAsia="zh-CN"/>
        </w:rPr>
        <w:t>南宁轨道交通运营有限公司</w:t>
      </w:r>
      <w:bookmarkStart w:id="3" w:name="_GoBack"/>
      <w:bookmarkEnd w:id="3"/>
      <w:r>
        <w:rPr>
          <w:rFonts w:hint="eastAsia"/>
          <w:color w:val="auto"/>
          <w:highlight w:val="none"/>
        </w:rPr>
        <w:t>各车辆段、停车场以及其它指定的暂存废矿物油的所有点位</w:t>
      </w:r>
      <w:r>
        <w:rPr>
          <w:rFonts w:hint="eastAsia" w:asciiTheme="majorEastAsia" w:hAnsiTheme="majorEastAsia" w:eastAsiaTheme="majorEastAsia" w:cstheme="majorEastAsia"/>
          <w:color w:val="auto"/>
          <w:kern w:val="0"/>
          <w:szCs w:val="21"/>
          <w:highlight w:val="none"/>
        </w:rPr>
        <w:t>。</w:t>
      </w:r>
    </w:p>
    <w:p>
      <w:pPr>
        <w:numPr>
          <w:ilvl w:val="0"/>
          <w:numId w:val="2"/>
        </w:numPr>
        <w:spacing w:line="360" w:lineRule="auto"/>
        <w:ind w:firstLine="420" w:firstLineChars="200"/>
        <w:rPr>
          <w:rFonts w:ascii="宋体" w:hAnsi="宋体" w:cs="楷体"/>
          <w:b/>
          <w:bCs/>
          <w:color w:val="auto"/>
          <w:szCs w:val="21"/>
          <w:highlight w:val="none"/>
        </w:rPr>
      </w:pPr>
      <w:r>
        <w:rPr>
          <w:rFonts w:hint="eastAsia" w:asciiTheme="majorEastAsia" w:hAnsiTheme="majorEastAsia" w:eastAsiaTheme="majorEastAsia" w:cstheme="majorEastAsia"/>
          <w:color w:val="auto"/>
          <w:kern w:val="0"/>
          <w:szCs w:val="21"/>
          <w:highlight w:val="none"/>
        </w:rPr>
        <w:t>项目明细：</w:t>
      </w:r>
      <w:r>
        <w:rPr>
          <w:rFonts w:hint="eastAsia" w:asciiTheme="minorEastAsia" w:hAnsiTheme="minorEastAsia" w:eastAsiaTheme="minorEastAsia" w:cstheme="minorEastAsia"/>
          <w:color w:val="auto"/>
          <w:kern w:val="0"/>
          <w:szCs w:val="21"/>
          <w:highlight w:val="none"/>
        </w:rPr>
        <w:t>见《</w:t>
      </w:r>
      <w:r>
        <w:rPr>
          <w:rFonts w:hint="eastAsia" w:eastAsiaTheme="minorEastAsia"/>
          <w:color w:val="auto"/>
          <w:highlight w:val="none"/>
          <w:lang w:eastAsia="zh-CN"/>
        </w:rPr>
        <w:t>废矿物油及含矿物油危险废弃物</w:t>
      </w:r>
      <w:r>
        <w:rPr>
          <w:rFonts w:hint="eastAsia"/>
          <w:color w:val="auto"/>
          <w:highlight w:val="none"/>
        </w:rPr>
        <w:t>处置清单汇总表</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lang w:eastAsia="zh-CN"/>
        </w:rPr>
        <w:t>。</w:t>
      </w:r>
    </w:p>
    <w:p>
      <w:pPr>
        <w:pStyle w:val="9"/>
        <w:spacing w:before="156" w:beforeLines="50" w:line="400" w:lineRule="exact"/>
        <w:ind w:firstLine="0" w:firstLineChars="0"/>
        <w:jc w:val="center"/>
        <w:rPr>
          <w:color w:val="auto"/>
          <w:highlight w:val="none"/>
        </w:rPr>
      </w:pPr>
      <w:r>
        <w:rPr>
          <w:rFonts w:hint="eastAsia"/>
          <w:color w:val="auto"/>
          <w:highlight w:val="none"/>
          <w:lang w:eastAsia="zh-CN"/>
        </w:rPr>
        <w:t>废矿物油及含矿物油危险废弃物</w:t>
      </w:r>
      <w:r>
        <w:rPr>
          <w:rFonts w:hint="eastAsia"/>
          <w:color w:val="auto"/>
          <w:highlight w:val="none"/>
        </w:rPr>
        <w:t>处置清单汇总</w:t>
      </w:r>
      <w:r>
        <w:rPr>
          <w:rFonts w:hint="eastAsia" w:asciiTheme="minorEastAsia" w:hAnsiTheme="minorEastAsia" w:eastAsiaTheme="minorEastAsia" w:cstheme="minorEastAsia"/>
          <w:color w:val="auto"/>
          <w:kern w:val="0"/>
          <w:szCs w:val="21"/>
          <w:highlight w:val="none"/>
        </w:rPr>
        <w:t>表</w:t>
      </w:r>
    </w:p>
    <w:tbl>
      <w:tblPr>
        <w:tblStyle w:val="7"/>
        <w:tblW w:w="98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2"/>
        <w:gridCol w:w="405"/>
        <w:gridCol w:w="885"/>
        <w:gridCol w:w="410"/>
        <w:gridCol w:w="493"/>
        <w:gridCol w:w="493"/>
        <w:gridCol w:w="493"/>
        <w:gridCol w:w="493"/>
        <w:gridCol w:w="497"/>
        <w:gridCol w:w="493"/>
        <w:gridCol w:w="493"/>
        <w:gridCol w:w="493"/>
        <w:gridCol w:w="493"/>
        <w:gridCol w:w="497"/>
        <w:gridCol w:w="493"/>
        <w:gridCol w:w="493"/>
        <w:gridCol w:w="493"/>
        <w:gridCol w:w="493"/>
        <w:gridCol w:w="339"/>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危险废物编号</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危险废物类别</w:t>
            </w:r>
          </w:p>
        </w:tc>
        <w:tc>
          <w:tcPr>
            <w:tcW w:w="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4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2024年预计产生废物量</w:t>
            </w:r>
          </w:p>
        </w:tc>
        <w:tc>
          <w:tcPr>
            <w:tcW w:w="24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2025年预计产生废物量</w:t>
            </w:r>
          </w:p>
        </w:tc>
        <w:tc>
          <w:tcPr>
            <w:tcW w:w="23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2026年预计产生废物量</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预计产生量合计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8" w:hRule="atLeast"/>
        </w:trPr>
        <w:tc>
          <w:tcPr>
            <w:tcW w:w="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4号线</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4号线</w:t>
            </w:r>
          </w:p>
        </w:tc>
        <w:tc>
          <w:tcPr>
            <w:tcW w:w="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3号线</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4号线</w:t>
            </w:r>
          </w:p>
        </w:tc>
        <w:tc>
          <w:tcPr>
            <w:tcW w:w="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5号线</w:t>
            </w: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HW08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废矿物油及含矿物油危险废弃物</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1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废物产生量年度汇总</w:t>
            </w:r>
          </w:p>
        </w:tc>
        <w:tc>
          <w:tcPr>
            <w:tcW w:w="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吨</w:t>
            </w:r>
          </w:p>
        </w:tc>
        <w:tc>
          <w:tcPr>
            <w:tcW w:w="24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5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8281"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表格中的数量为估算值仅作报价依据，最终按实际发生量结算</w:t>
            </w:r>
          </w:p>
        </w:tc>
      </w:tr>
    </w:tbl>
    <w:p>
      <w:pPr>
        <w:spacing w:line="360" w:lineRule="auto"/>
        <w:rPr>
          <w:rFonts w:ascii="宋体" w:hAnsi="宋体" w:cs="楷体"/>
          <w:b/>
          <w:bCs/>
          <w:color w:val="auto"/>
          <w:szCs w:val="21"/>
          <w:highlight w:val="none"/>
        </w:rPr>
      </w:pPr>
      <w:r>
        <w:rPr>
          <w:rFonts w:hint="eastAsia" w:asciiTheme="majorEastAsia" w:hAnsiTheme="majorEastAsia" w:eastAsiaTheme="majorEastAsia" w:cstheme="majorEastAsia"/>
          <w:color w:val="auto"/>
          <w:szCs w:val="21"/>
          <w:highlight w:val="none"/>
        </w:rPr>
        <w:br w:type="textWrapping"/>
      </w:r>
      <w:r>
        <w:rPr>
          <w:rFonts w:hint="eastAsia" w:asciiTheme="majorEastAsia" w:hAnsiTheme="majorEastAsia" w:eastAsiaTheme="majorEastAsia" w:cstheme="majorEastAsia"/>
          <w:color w:val="auto"/>
          <w:szCs w:val="21"/>
          <w:highlight w:val="none"/>
        </w:rPr>
        <w:t xml:space="preserve">  </w:t>
      </w:r>
      <w:r>
        <w:rPr>
          <w:rFonts w:hint="eastAsia" w:ascii="宋体" w:hAnsi="宋体" w:cs="楷体"/>
          <w:b/>
          <w:bCs/>
          <w:color w:val="auto"/>
          <w:szCs w:val="21"/>
          <w:highlight w:val="none"/>
        </w:rPr>
        <w:t>（二）项目要求</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1、资质要求</w:t>
      </w:r>
    </w:p>
    <w:p>
      <w:pPr>
        <w:widowControl/>
        <w:spacing w:line="360" w:lineRule="auto"/>
        <w:ind w:firstLine="420" w:firstLineChars="200"/>
        <w:rPr>
          <w:rFonts w:hint="eastAsia" w:ascii="宋体" w:hAnsi="宋体" w:cs="仿宋"/>
          <w:color w:val="000000"/>
          <w:szCs w:val="21"/>
          <w:highlight w:val="none"/>
          <w:lang w:val="en-US" w:eastAsia="zh-CN"/>
        </w:rPr>
      </w:pPr>
      <w:r>
        <w:rPr>
          <w:rFonts w:hint="eastAsia" w:ascii="宋体" w:hAnsi="宋体" w:cs="仿宋"/>
          <w:color w:val="000000"/>
          <w:szCs w:val="21"/>
          <w:highlight w:val="none"/>
          <w:lang w:val="en-US" w:eastAsia="zh-CN"/>
        </w:rPr>
        <w:t>（1）买方资格要求：具有国内独立法人资格，营业执照经营范围包括危险废弃物废矿物油及含矿物油危险废弃物（HW08）的回收、处理、处置、利用等类似范围；具有有效期内的危险废物经营许可证以及道路危险货物运输许可证（运输许可证若为委托单位的，应提供相关委托协议）。</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000000"/>
          <w:szCs w:val="21"/>
          <w:highlight w:val="none"/>
          <w:lang w:val="en-US" w:eastAsia="zh-CN"/>
        </w:rPr>
        <w:t>（2）保证处理设施、设备符合国家法律、法规对处理危险废物的技术要求，并在运输和处置过程中不产生二次污染，最终保证产生的废矿物油及含矿物油危险废弃物得到正确处理和处置，该种处理与处置须符合国家、广西及南宁市关于危险废物处理与处置相关的法律与法规。</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2、技术及服务要求</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（1）</w:t>
      </w:r>
      <w:r>
        <w:rPr>
          <w:rFonts w:hint="eastAsia" w:ascii="宋体" w:hAnsi="宋体" w:cs="仿宋"/>
          <w:color w:val="auto"/>
          <w:szCs w:val="21"/>
          <w:highlight w:val="none"/>
          <w:lang w:eastAsia="zh-CN"/>
        </w:rPr>
        <w:t>买方</w:t>
      </w:r>
      <w:r>
        <w:rPr>
          <w:rFonts w:hint="eastAsia"/>
          <w:color w:val="auto"/>
          <w:highlight w:val="none"/>
        </w:rPr>
        <w:t>自备回收器具和该类别有效期内的道路危险货物运输许可证的运输车辆，负责</w:t>
      </w:r>
      <w:r>
        <w:rPr>
          <w:rFonts w:hint="eastAsia" w:ascii="宋体" w:hAnsi="宋体" w:cs="仿宋"/>
          <w:color w:val="000000"/>
          <w:szCs w:val="21"/>
          <w:highlight w:val="none"/>
          <w:lang w:val="en-US" w:eastAsia="zh-CN"/>
        </w:rPr>
        <w:t>废矿物油及含矿物油危险废弃物</w:t>
      </w:r>
      <w:r>
        <w:rPr>
          <w:rFonts w:hint="eastAsia"/>
          <w:color w:val="auto"/>
          <w:highlight w:val="none"/>
        </w:rPr>
        <w:t>的装卸、运输、过磅等一切费用</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（2）</w:t>
      </w:r>
      <w:r>
        <w:rPr>
          <w:rFonts w:hint="eastAsia"/>
          <w:color w:val="auto"/>
          <w:highlight w:val="none"/>
        </w:rPr>
        <w:t>运输车辆的司机和装卸人员应具有交通主管部门核发的营业性道路运输 (危险货物运输)从业资格证，作业过程中做好安全防护遵守安全卫生制度。在运输过程中不得沿途丢弃、遗撒废物</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（3）</w:t>
      </w:r>
      <w:r>
        <w:rPr>
          <w:rFonts w:hint="eastAsia"/>
          <w:color w:val="auto"/>
          <w:highlight w:val="none"/>
        </w:rPr>
        <w:t>承担本项目危险废物转移、转运、处理与处置过程中产生的安全事故、环境污染事故、交通事故等一切责任和后果</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（4）</w:t>
      </w:r>
      <w:r>
        <w:rPr>
          <w:color w:val="auto"/>
          <w:highlight w:val="none"/>
        </w:rPr>
        <w:t>在进行危险废物转运、处置工作前，需将所需车辆、器械、指派人员的基本情况进行认真审核、检查，对发现的器材、人员问题要及时做有效处理，保证工作质量</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（5）</w:t>
      </w:r>
      <w:r>
        <w:rPr>
          <w:color w:val="auto"/>
          <w:highlight w:val="none"/>
        </w:rPr>
        <w:t>做好</w:t>
      </w:r>
      <w:r>
        <w:rPr>
          <w:rFonts w:hint="eastAsia"/>
          <w:color w:val="auto"/>
          <w:highlight w:val="none"/>
        </w:rPr>
        <w:t>搬运</w:t>
      </w:r>
      <w:r>
        <w:rPr>
          <w:color w:val="auto"/>
          <w:highlight w:val="none"/>
        </w:rPr>
        <w:t>、分解、运输过程中出现的</w:t>
      </w:r>
      <w:r>
        <w:rPr>
          <w:rFonts w:hint="eastAsia"/>
          <w:color w:val="auto"/>
          <w:highlight w:val="none"/>
        </w:rPr>
        <w:t>应急</w:t>
      </w:r>
      <w:r>
        <w:rPr>
          <w:color w:val="auto"/>
          <w:highlight w:val="none"/>
        </w:rPr>
        <w:t>污染</w:t>
      </w:r>
      <w:r>
        <w:rPr>
          <w:rFonts w:hint="eastAsia"/>
          <w:color w:val="auto"/>
          <w:highlight w:val="none"/>
        </w:rPr>
        <w:t>防治</w:t>
      </w:r>
      <w:r>
        <w:rPr>
          <w:color w:val="auto"/>
          <w:highlight w:val="none"/>
        </w:rPr>
        <w:t>救援预案</w:t>
      </w:r>
      <w:r>
        <w:rPr>
          <w:rFonts w:hint="eastAsia" w:ascii="宋体" w:hAnsi="宋体" w:cs="仿宋"/>
          <w:color w:val="auto"/>
          <w:szCs w:val="21"/>
          <w:highlight w:val="none"/>
        </w:rPr>
        <w:t>。</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3、项目实施方案</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（1）</w:t>
      </w:r>
      <w:r>
        <w:rPr>
          <w:rFonts w:hint="eastAsia" w:ascii="宋体" w:hAnsi="宋体" w:cs="仿宋"/>
          <w:color w:val="000000"/>
          <w:szCs w:val="21"/>
          <w:highlight w:val="none"/>
          <w:lang w:val="en-US" w:eastAsia="zh-CN"/>
        </w:rPr>
        <w:t>废矿物油及含矿物油危险废弃物</w:t>
      </w:r>
      <w:r>
        <w:rPr>
          <w:rFonts w:hint="eastAsia"/>
          <w:color w:val="auto"/>
          <w:highlight w:val="none"/>
        </w:rPr>
        <w:t>的处置工作预计各线路需回收</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3</w:t>
      </w:r>
      <w:r>
        <w:rPr>
          <w:rFonts w:hint="eastAsia"/>
          <w:color w:val="auto"/>
          <w:highlight w:val="none"/>
        </w:rPr>
        <w:t>次/年</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（2）</w:t>
      </w:r>
      <w:r>
        <w:rPr>
          <w:rFonts w:hint="eastAsia"/>
          <w:color w:val="auto"/>
          <w:highlight w:val="none"/>
          <w:lang w:eastAsia="zh-CN"/>
        </w:rPr>
        <w:t>卖方</w:t>
      </w:r>
      <w:r>
        <w:rPr>
          <w:rFonts w:hint="eastAsia"/>
          <w:color w:val="auto"/>
          <w:highlight w:val="none"/>
        </w:rPr>
        <w:t>提前 5 天通知，</w:t>
      </w:r>
      <w:r>
        <w:rPr>
          <w:rFonts w:hint="eastAsia"/>
          <w:color w:val="auto"/>
          <w:highlight w:val="none"/>
          <w:lang w:eastAsia="zh-CN"/>
        </w:rPr>
        <w:t>买方</w:t>
      </w:r>
      <w:r>
        <w:rPr>
          <w:rFonts w:hint="eastAsia"/>
          <w:color w:val="auto"/>
          <w:highlight w:val="none"/>
        </w:rPr>
        <w:t>在接到处置消息后5个工作日内需完成</w:t>
      </w:r>
      <w:r>
        <w:rPr>
          <w:rFonts w:hint="eastAsia" w:ascii="宋体" w:hAnsi="宋体" w:cs="仿宋"/>
          <w:color w:val="000000"/>
          <w:szCs w:val="21"/>
          <w:highlight w:val="none"/>
          <w:lang w:val="en-US" w:eastAsia="zh-CN"/>
        </w:rPr>
        <w:t>废矿物油及含矿物油危险废弃物</w:t>
      </w:r>
      <w:r>
        <w:rPr>
          <w:rFonts w:hint="eastAsia"/>
          <w:color w:val="auto"/>
          <w:highlight w:val="none"/>
        </w:rPr>
        <w:t>的称重及转移处置工作</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（3）</w:t>
      </w:r>
      <w:r>
        <w:rPr>
          <w:rFonts w:hint="eastAsia" w:ascii="宋体" w:hAnsi="宋体" w:cs="宋体"/>
          <w:color w:val="auto"/>
          <w:kern w:val="0"/>
          <w:szCs w:val="21"/>
          <w:highlight w:val="none"/>
        </w:rPr>
        <w:t>过磅事项：由</w:t>
      </w:r>
      <w:r>
        <w:rPr>
          <w:rFonts w:hint="eastAsia" w:ascii="宋体" w:hAnsi="宋体" w:cs="宋体"/>
          <w:color w:val="auto"/>
          <w:kern w:val="0"/>
          <w:szCs w:val="21"/>
          <w:highlight w:val="none"/>
          <w:lang w:val="en-US" w:eastAsia="zh-CN"/>
        </w:rPr>
        <w:t>卖</w:t>
      </w:r>
      <w:r>
        <w:rPr>
          <w:rFonts w:hint="eastAsia"/>
          <w:color w:val="auto"/>
          <w:highlight w:val="none"/>
          <w:lang w:val="en-US" w:eastAsia="zh-CN"/>
        </w:rPr>
        <w:t>方</w:t>
      </w:r>
      <w:r>
        <w:rPr>
          <w:rFonts w:hint="eastAsia" w:ascii="宋体" w:hAnsi="宋体" w:cs="宋体"/>
          <w:color w:val="auto"/>
          <w:kern w:val="0"/>
          <w:szCs w:val="21"/>
          <w:highlight w:val="none"/>
        </w:rPr>
        <w:t>选择通过三方检测合格的台秤</w:t>
      </w:r>
      <w:r>
        <w:rPr>
          <w:rFonts w:hint="eastAsia" w:ascii="宋体" w:hAnsi="宋体" w:cs="仿宋"/>
          <w:color w:val="auto"/>
          <w:szCs w:val="21"/>
          <w:highlight w:val="none"/>
        </w:rPr>
        <w:t>或指定的地磅</w:t>
      </w:r>
      <w:r>
        <w:rPr>
          <w:rFonts w:hint="eastAsia" w:ascii="宋体" w:hAnsi="宋体" w:cs="宋体"/>
          <w:color w:val="auto"/>
          <w:kern w:val="0"/>
          <w:szCs w:val="21"/>
          <w:highlight w:val="none"/>
        </w:rPr>
        <w:t>，过磅完成后，过磅单须双方签字确认</w:t>
      </w:r>
      <w:r>
        <w:rPr>
          <w:rFonts w:hint="eastAsia" w:ascii="宋体" w:hAnsi="宋体" w:cs="仿宋"/>
          <w:color w:val="auto"/>
          <w:szCs w:val="21"/>
          <w:highlight w:val="none"/>
        </w:rPr>
        <w:t>。</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4、质量保证</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（1）</w:t>
      </w:r>
      <w:r>
        <w:rPr>
          <w:rFonts w:hint="eastAsia"/>
          <w:color w:val="auto"/>
          <w:highlight w:val="none"/>
        </w:rPr>
        <w:t>保证每次</w:t>
      </w:r>
      <w:r>
        <w:rPr>
          <w:rFonts w:hint="eastAsia" w:ascii="宋体" w:hAnsi="宋体" w:cs="仿宋"/>
          <w:color w:val="000000"/>
          <w:szCs w:val="21"/>
          <w:highlight w:val="none"/>
          <w:lang w:val="en-US" w:eastAsia="zh-CN"/>
        </w:rPr>
        <w:t>废矿物油及含矿物油危险废弃物</w:t>
      </w:r>
      <w:r>
        <w:rPr>
          <w:rFonts w:hint="eastAsia"/>
          <w:color w:val="auto"/>
          <w:highlight w:val="none"/>
        </w:rPr>
        <w:t>称重、转移处置工作的连贯与安全性，将各车辆段所有</w:t>
      </w:r>
      <w:r>
        <w:rPr>
          <w:rFonts w:hint="eastAsia" w:ascii="宋体" w:hAnsi="宋体" w:cs="仿宋"/>
          <w:color w:val="000000"/>
          <w:szCs w:val="21"/>
          <w:highlight w:val="none"/>
          <w:lang w:val="en-US" w:eastAsia="zh-CN"/>
        </w:rPr>
        <w:t>废矿物油及含矿物油危险废弃物</w:t>
      </w:r>
      <w:r>
        <w:rPr>
          <w:rFonts w:hint="eastAsia"/>
          <w:color w:val="auto"/>
          <w:highlight w:val="none"/>
        </w:rPr>
        <w:t>一次性安全转移，现场需做好相关的准备工作，保证该次工作完成后不残留任何危险废物及作业工器具</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（2）</w:t>
      </w:r>
      <w:r>
        <w:rPr>
          <w:rFonts w:hint="eastAsia"/>
          <w:color w:val="auto"/>
          <w:highlight w:val="none"/>
        </w:rPr>
        <w:t>保证废旧物资按照国家法律法规及工作流程进行处置，不造成环境危害及其他对社会公众的伤害</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（3）</w:t>
      </w:r>
      <w:r>
        <w:rPr>
          <w:rFonts w:hint="eastAsia"/>
          <w:color w:val="auto"/>
          <w:highlight w:val="none"/>
        </w:rPr>
        <w:t>保证及时清理现场（因转移、转运、处理与处置过程中产生的清洁卫生工作）</w:t>
      </w:r>
      <w:r>
        <w:rPr>
          <w:rFonts w:hint="eastAsia" w:ascii="宋体" w:hAnsi="宋体" w:cs="仿宋"/>
          <w:color w:val="auto"/>
          <w:szCs w:val="21"/>
          <w:highlight w:val="none"/>
        </w:rPr>
        <w:t>。</w:t>
      </w:r>
    </w:p>
    <w:p>
      <w:pPr>
        <w:widowControl/>
        <w:spacing w:line="360" w:lineRule="auto"/>
        <w:ind w:firstLine="420" w:firstLineChars="200"/>
        <w:rPr>
          <w:color w:val="auto"/>
          <w:highlight w:val="none"/>
        </w:rPr>
      </w:pPr>
      <w:r>
        <w:rPr>
          <w:rFonts w:hint="eastAsia" w:ascii="宋体" w:hAnsi="宋体" w:cs="仿宋"/>
          <w:color w:val="auto"/>
          <w:szCs w:val="21"/>
          <w:highlight w:val="none"/>
        </w:rPr>
        <w:t>（4）</w:t>
      </w:r>
      <w:r>
        <w:rPr>
          <w:rFonts w:hint="eastAsia"/>
          <w:color w:val="auto"/>
          <w:highlight w:val="none"/>
        </w:rPr>
        <w:t>搬运、</w:t>
      </w:r>
      <w:r>
        <w:rPr>
          <w:color w:val="auto"/>
          <w:highlight w:val="none"/>
        </w:rPr>
        <w:t>处置过程中</w:t>
      </w:r>
      <w:r>
        <w:rPr>
          <w:rFonts w:hint="eastAsia"/>
          <w:color w:val="auto"/>
          <w:highlight w:val="none"/>
        </w:rPr>
        <w:t>需</w:t>
      </w:r>
      <w:r>
        <w:rPr>
          <w:color w:val="auto"/>
          <w:highlight w:val="none"/>
        </w:rPr>
        <w:t>做好劳动</w:t>
      </w:r>
      <w:r>
        <w:rPr>
          <w:rFonts w:hint="eastAsia"/>
          <w:color w:val="auto"/>
          <w:highlight w:val="none"/>
        </w:rPr>
        <w:t>保护</w:t>
      </w:r>
      <w:r>
        <w:rPr>
          <w:color w:val="auto"/>
          <w:highlight w:val="none"/>
        </w:rPr>
        <w:t>措施</w:t>
      </w:r>
      <w:r>
        <w:rPr>
          <w:rFonts w:hint="eastAsia"/>
          <w:color w:val="auto"/>
          <w:highlight w:val="none"/>
        </w:rPr>
        <w:t>，</w:t>
      </w:r>
      <w:r>
        <w:rPr>
          <w:color w:val="auto"/>
          <w:highlight w:val="none"/>
        </w:rPr>
        <w:t>按相关规定穿戴好劳保</w:t>
      </w:r>
      <w:r>
        <w:rPr>
          <w:rFonts w:hint="eastAsia"/>
          <w:color w:val="auto"/>
          <w:highlight w:val="none"/>
        </w:rPr>
        <w:t>用品。</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（5）</w:t>
      </w:r>
      <w:r>
        <w:rPr>
          <w:rFonts w:hint="eastAsia"/>
          <w:color w:val="auto"/>
          <w:highlight w:val="none"/>
        </w:rPr>
        <w:t>保证危险废物转运、处置工作应满足国家环保法律、法规的要求</w:t>
      </w:r>
      <w:r>
        <w:rPr>
          <w:rFonts w:hint="eastAsia" w:ascii="宋体" w:hAnsi="宋体" w:cs="仿宋"/>
          <w:color w:val="auto"/>
          <w:szCs w:val="21"/>
          <w:highlight w:val="none"/>
        </w:rPr>
        <w:t>。</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（6）符合国务院交通主管部门有关危险货物运输安全要求的运输工具。</w:t>
      </w:r>
    </w:p>
    <w:p>
      <w:pPr>
        <w:widowControl/>
        <w:spacing w:line="360" w:lineRule="auto"/>
        <w:ind w:firstLine="420" w:firstLineChars="200"/>
        <w:rPr>
          <w:color w:val="auto"/>
          <w:highlight w:val="none"/>
        </w:rPr>
      </w:pPr>
      <w:r>
        <w:rPr>
          <w:rFonts w:hint="eastAsia" w:ascii="宋体" w:hAnsi="宋体" w:cs="仿宋"/>
          <w:color w:val="auto"/>
          <w:szCs w:val="21"/>
          <w:highlight w:val="none"/>
        </w:rPr>
        <w:t>（7）危险废弃物转移需</w:t>
      </w:r>
      <w:r>
        <w:rPr>
          <w:rFonts w:hint="eastAsia" w:ascii="宋体" w:hAnsi="宋体" w:cs="仿宋"/>
          <w:color w:val="auto"/>
          <w:szCs w:val="21"/>
          <w:highlight w:val="none"/>
          <w:lang w:eastAsia="zh-CN"/>
        </w:rPr>
        <w:t>买方</w:t>
      </w:r>
      <w:r>
        <w:rPr>
          <w:rFonts w:hint="eastAsia" w:ascii="宋体" w:hAnsi="宋体" w:cs="仿宋"/>
          <w:color w:val="auto"/>
          <w:szCs w:val="21"/>
          <w:highlight w:val="none"/>
        </w:rPr>
        <w:t>在广西危险废物智能监管平台上接受确认后方可运输转移。</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5、响应要求</w:t>
      </w:r>
    </w:p>
    <w:p>
      <w:pPr>
        <w:widowControl/>
        <w:spacing w:line="360" w:lineRule="auto"/>
        <w:ind w:firstLine="420" w:firstLineChars="200"/>
        <w:rPr>
          <w:rFonts w:ascii="宋体" w:hAnsi="宋体" w:cs="仿宋"/>
          <w:color w:val="auto"/>
          <w:szCs w:val="21"/>
          <w:highlight w:val="none"/>
        </w:rPr>
      </w:pPr>
      <w:r>
        <w:rPr>
          <w:rFonts w:hint="eastAsia"/>
          <w:color w:val="auto"/>
          <w:highlight w:val="none"/>
        </w:rPr>
        <w:t>根据废物的产生情况，</w:t>
      </w:r>
      <w:r>
        <w:rPr>
          <w:rFonts w:hint="eastAsia"/>
          <w:color w:val="auto"/>
          <w:highlight w:val="none"/>
          <w:lang w:val="en-US" w:eastAsia="zh-CN"/>
        </w:rPr>
        <w:t>买方</w:t>
      </w:r>
      <w:r>
        <w:rPr>
          <w:rFonts w:hint="eastAsia"/>
          <w:color w:val="auto"/>
          <w:highlight w:val="none"/>
        </w:rPr>
        <w:t>需要定期安排人员与运输车辆到现场对危险废物进行及时处理，在接到</w:t>
      </w:r>
      <w:r>
        <w:rPr>
          <w:rFonts w:hint="eastAsia"/>
          <w:color w:val="auto"/>
          <w:highlight w:val="none"/>
          <w:lang w:eastAsia="zh-CN"/>
        </w:rPr>
        <w:t>卖方</w:t>
      </w:r>
      <w:r>
        <w:rPr>
          <w:rFonts w:hint="eastAsia"/>
          <w:color w:val="auto"/>
          <w:highlight w:val="none"/>
        </w:rPr>
        <w:t>电话通知5个工作日内处理完成，特殊情况下应配合卖方的要求当天处理与处置</w:t>
      </w:r>
      <w:r>
        <w:rPr>
          <w:rFonts w:hint="eastAsia" w:ascii="宋体" w:hAnsi="宋体" w:cs="仿宋"/>
          <w:color w:val="auto"/>
          <w:szCs w:val="21"/>
          <w:highlight w:val="none"/>
        </w:rPr>
        <w:t>。</w:t>
      </w:r>
    </w:p>
    <w:p>
      <w:pPr>
        <w:autoSpaceDE w:val="0"/>
        <w:autoSpaceDN w:val="0"/>
        <w:adjustRightInd w:val="0"/>
        <w:spacing w:line="360" w:lineRule="auto"/>
        <w:ind w:firstLine="422" w:firstLineChars="200"/>
        <w:outlineLvl w:val="2"/>
        <w:rPr>
          <w:rFonts w:ascii="宋体" w:hAnsi="宋体" w:cs="仿宋"/>
          <w:b/>
          <w:bCs/>
          <w:color w:val="auto"/>
          <w:szCs w:val="21"/>
          <w:highlight w:val="none"/>
        </w:rPr>
      </w:pPr>
      <w:r>
        <w:rPr>
          <w:rFonts w:hint="eastAsia" w:ascii="宋体" w:hAnsi="宋体" w:cs="仿宋"/>
          <w:b/>
          <w:bCs/>
          <w:color w:val="auto"/>
          <w:szCs w:val="21"/>
          <w:highlight w:val="none"/>
        </w:rPr>
        <w:t>6、其他事项</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为了能够综合、准确、合理报价，从本项目询比价公告发起至本项目开标前一天，投标方可择期到现场考察，询价人具体联系人：刘烽，0771-2</w:t>
      </w:r>
      <w:r>
        <w:rPr>
          <w:rFonts w:hint="eastAsia" w:ascii="宋体" w:hAnsi="宋体" w:cs="仿宋"/>
          <w:color w:val="auto"/>
          <w:szCs w:val="21"/>
          <w:highlight w:val="none"/>
          <w:lang w:val="en-US" w:eastAsia="zh-CN"/>
        </w:rPr>
        <w:t>778312</w:t>
      </w:r>
      <w:r>
        <w:rPr>
          <w:rFonts w:hint="eastAsia" w:ascii="宋体" w:hAnsi="宋体" w:cs="仿宋"/>
          <w:color w:val="auto"/>
          <w:szCs w:val="21"/>
          <w:highlight w:val="none"/>
        </w:rPr>
        <w:t>/18773166466,以便投标方结合实际的情况进行报价。</w:t>
      </w:r>
    </w:p>
    <w:p>
      <w:pPr>
        <w:pStyle w:val="2"/>
        <w:ind w:left="0" w:leftChars="0"/>
        <w:rPr>
          <w:b/>
          <w:bCs/>
          <w:color w:val="auto"/>
          <w:kern w:val="44"/>
          <w:sz w:val="28"/>
          <w:szCs w:val="44"/>
          <w:highlight w:val="none"/>
        </w:rPr>
      </w:pPr>
      <w:r>
        <w:rPr>
          <w:rFonts w:hint="eastAsia"/>
          <w:b/>
          <w:bCs/>
          <w:color w:val="auto"/>
          <w:kern w:val="44"/>
          <w:sz w:val="28"/>
          <w:szCs w:val="44"/>
          <w:highlight w:val="none"/>
        </w:rPr>
        <w:t>四、项目服务期限</w:t>
      </w:r>
    </w:p>
    <w:p>
      <w:pPr>
        <w:pStyle w:val="2"/>
        <w:ind w:left="420"/>
        <w:rPr>
          <w:rFonts w:ascii="宋体" w:hAnsi="宋体"/>
          <w:color w:val="auto"/>
          <w:szCs w:val="21"/>
          <w:highlight w:val="none"/>
        </w:rPr>
      </w:pPr>
      <w:r>
        <w:rPr>
          <w:rFonts w:hint="eastAsia" w:ascii="宋体" w:hAnsi="宋体" w:cs="宋体"/>
          <w:color w:val="auto"/>
          <w:kern w:val="0"/>
          <w:szCs w:val="21"/>
          <w:highlight w:val="none"/>
        </w:rPr>
        <w:t>自</w:t>
      </w:r>
      <w:r>
        <w:rPr>
          <w:rFonts w:hint="eastAsia" w:ascii="宋体" w:hAnsi="宋体"/>
          <w:color w:val="auto"/>
          <w:szCs w:val="21"/>
          <w:highlight w:val="none"/>
        </w:rPr>
        <w:t>合同签订之日至202</w:t>
      </w:r>
      <w:r>
        <w:rPr>
          <w:rFonts w:hint="eastAsia" w:ascii="宋体" w:hAnsi="宋体"/>
          <w:color w:val="auto"/>
          <w:szCs w:val="21"/>
          <w:highlight w:val="none"/>
          <w:lang w:val="en-US" w:eastAsia="zh-CN"/>
        </w:rPr>
        <w:t>6</w:t>
      </w:r>
      <w:r>
        <w:rPr>
          <w:rFonts w:hint="eastAsia" w:ascii="宋体" w:hAnsi="宋体"/>
          <w:color w:val="auto"/>
          <w:szCs w:val="21"/>
          <w:highlight w:val="none"/>
        </w:rPr>
        <w:t>年12月31日，或实际处置总量等于合同总量终止。</w:t>
      </w:r>
    </w:p>
    <w:p>
      <w:pPr>
        <w:pStyle w:val="2"/>
        <w:numPr>
          <w:ilvl w:val="0"/>
          <w:numId w:val="3"/>
        </w:numPr>
        <w:ind w:left="0" w:leftChars="0"/>
        <w:rPr>
          <w:b/>
          <w:bCs/>
          <w:color w:val="auto"/>
          <w:kern w:val="44"/>
          <w:sz w:val="28"/>
          <w:szCs w:val="44"/>
          <w:highlight w:val="none"/>
        </w:rPr>
      </w:pPr>
      <w:bookmarkStart w:id="2" w:name="_Toc28589"/>
      <w:r>
        <w:rPr>
          <w:rFonts w:hint="eastAsia"/>
          <w:b/>
          <w:bCs/>
          <w:color w:val="auto"/>
          <w:kern w:val="44"/>
          <w:sz w:val="28"/>
          <w:szCs w:val="44"/>
          <w:highlight w:val="none"/>
        </w:rPr>
        <w:t>人员要求</w:t>
      </w:r>
      <w:bookmarkEnd w:id="2"/>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在本项目执行期间，</w:t>
      </w:r>
      <w:r>
        <w:rPr>
          <w:rFonts w:hint="eastAsia" w:ascii="宋体" w:hAnsi="宋体" w:cs="仿宋"/>
          <w:color w:val="auto"/>
          <w:szCs w:val="21"/>
          <w:highlight w:val="none"/>
          <w:lang w:val="en-US" w:eastAsia="zh-CN"/>
        </w:rPr>
        <w:t>买方</w:t>
      </w:r>
      <w:r>
        <w:rPr>
          <w:rFonts w:hint="eastAsia" w:ascii="宋体" w:hAnsi="宋体" w:cs="仿宋"/>
          <w:color w:val="auto"/>
          <w:szCs w:val="21"/>
          <w:highlight w:val="none"/>
        </w:rPr>
        <w:t>须配置足够的项目人员，按</w:t>
      </w:r>
      <w:r>
        <w:rPr>
          <w:rFonts w:hint="eastAsia" w:ascii="宋体" w:hAnsi="宋体" w:cs="仿宋"/>
          <w:color w:val="auto"/>
          <w:szCs w:val="21"/>
          <w:highlight w:val="none"/>
          <w:lang w:eastAsia="zh-CN"/>
        </w:rPr>
        <w:t>卖方</w:t>
      </w:r>
      <w:r>
        <w:rPr>
          <w:rFonts w:hint="eastAsia" w:ascii="宋体" w:hAnsi="宋体" w:cs="仿宋"/>
          <w:color w:val="auto"/>
          <w:szCs w:val="21"/>
          <w:highlight w:val="none"/>
        </w:rPr>
        <w:t>要求驻场，保障项目的进度要求和质量。必须配备但不限于下列人员∶</w:t>
      </w:r>
    </w:p>
    <w:p>
      <w:pPr>
        <w:widowControl/>
        <w:spacing w:line="360" w:lineRule="auto"/>
        <w:ind w:firstLine="420" w:firstLineChars="200"/>
        <w:rPr>
          <w:rFonts w:ascii="宋体" w:hAnsi="宋体" w:cs="仿宋"/>
          <w:color w:val="auto"/>
          <w:szCs w:val="21"/>
          <w:highlight w:val="none"/>
        </w:rPr>
      </w:pPr>
      <w:r>
        <w:rPr>
          <w:rFonts w:hint="eastAsia" w:ascii="宋体" w:hAnsi="宋体" w:cs="仿宋"/>
          <w:color w:val="auto"/>
          <w:szCs w:val="21"/>
          <w:highlight w:val="none"/>
        </w:rPr>
        <w:t>（1）项目负责人1名：负责与</w:t>
      </w:r>
      <w:r>
        <w:rPr>
          <w:rFonts w:hint="eastAsia" w:ascii="宋体" w:hAnsi="宋体" w:cs="仿宋"/>
          <w:color w:val="auto"/>
          <w:szCs w:val="21"/>
          <w:highlight w:val="none"/>
          <w:lang w:eastAsia="zh-CN"/>
        </w:rPr>
        <w:t>卖方</w:t>
      </w:r>
      <w:r>
        <w:rPr>
          <w:rFonts w:hint="eastAsia" w:ascii="宋体" w:hAnsi="宋体" w:cs="仿宋"/>
          <w:color w:val="auto"/>
          <w:szCs w:val="21"/>
          <w:highlight w:val="none"/>
        </w:rPr>
        <w:t>统筹对接，协调项目执行过程中出现各类问题。</w:t>
      </w:r>
    </w:p>
    <w:p>
      <w:pPr>
        <w:spacing w:line="360" w:lineRule="auto"/>
        <w:ind w:firstLine="420" w:firstLineChars="200"/>
        <w:rPr>
          <w:rFonts w:hint="eastAsia" w:eastAsia="宋体"/>
          <w:lang w:eastAsia="zh-CN"/>
        </w:rPr>
      </w:pPr>
      <w:r>
        <w:rPr>
          <w:rFonts w:hint="eastAsia" w:ascii="宋体" w:hAnsi="宋体" w:cs="仿宋"/>
          <w:color w:val="auto"/>
          <w:szCs w:val="21"/>
          <w:highlight w:val="none"/>
        </w:rPr>
        <w:t>（2）项目执行人员不少于2名：负责配合项目负责人对南宁轨道交通集团运营有限公司在生产和经营过程中产生的</w:t>
      </w:r>
      <w:r>
        <w:rPr>
          <w:rFonts w:hint="eastAsia" w:ascii="宋体" w:hAnsi="宋体" w:cs="仿宋"/>
          <w:color w:val="auto"/>
          <w:szCs w:val="21"/>
          <w:highlight w:val="none"/>
          <w:lang w:val="en-US" w:eastAsia="zh-CN"/>
        </w:rPr>
        <w:t>废矿物油及含矿物油危险废弃物</w:t>
      </w:r>
      <w:r>
        <w:rPr>
          <w:rFonts w:hint="eastAsia" w:ascii="宋体" w:hAnsi="宋体" w:cs="仿宋"/>
          <w:color w:val="auto"/>
          <w:szCs w:val="21"/>
          <w:highlight w:val="none"/>
        </w:rPr>
        <w:t>以固定周期的方式严格按国家相关法律规定进行转运、处置</w:t>
      </w:r>
      <w:r>
        <w:rPr>
          <w:rFonts w:hint="eastAsia"/>
          <w:color w:val="auto"/>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F197E"/>
    <w:multiLevelType w:val="singleLevel"/>
    <w:tmpl w:val="98CF197E"/>
    <w:lvl w:ilvl="0" w:tentative="0">
      <w:start w:val="1"/>
      <w:numFmt w:val="decimal"/>
      <w:suff w:val="nothing"/>
      <w:lvlText w:val="（%1）"/>
      <w:lvlJc w:val="left"/>
      <w:rPr>
        <w:rFonts w:hint="default"/>
        <w:b w:val="0"/>
        <w:bCs w:val="0"/>
      </w:rPr>
    </w:lvl>
  </w:abstractNum>
  <w:abstractNum w:abstractNumId="1">
    <w:nsid w:val="FC7ADF42"/>
    <w:multiLevelType w:val="singleLevel"/>
    <w:tmpl w:val="FC7ADF42"/>
    <w:lvl w:ilvl="0" w:tentative="0">
      <w:start w:val="1"/>
      <w:numFmt w:val="decimal"/>
      <w:suff w:val="nothing"/>
      <w:lvlText w:val="%1、"/>
      <w:lvlJc w:val="left"/>
    </w:lvl>
  </w:abstractNum>
  <w:abstractNum w:abstractNumId="2">
    <w:nsid w:val="02F0E73D"/>
    <w:multiLevelType w:val="singleLevel"/>
    <w:tmpl w:val="02F0E73D"/>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NjFlMjQ2ZGIwMGY3NGRjZGFkYzlhN2IwYTZmYzIifQ=="/>
  </w:docVars>
  <w:rsids>
    <w:rsidRoot w:val="5F3528C3"/>
    <w:rsid w:val="4A8F22CC"/>
    <w:rsid w:val="54B930F1"/>
    <w:rsid w:val="5F3528C3"/>
    <w:rsid w:val="60262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28"/>
      <w:szCs w:val="44"/>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spacing w:before="100" w:beforeAutospacing="1" w:after="100" w:afterAutospacing="1"/>
      <w:ind w:left="200"/>
    </w:pPr>
  </w:style>
  <w:style w:type="paragraph" w:styleId="3">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2161</Words>
  <Characters>2224</Characters>
  <Lines>0</Lines>
  <Paragraphs>0</Paragraphs>
  <TotalTime>5</TotalTime>
  <ScaleCrop>false</ScaleCrop>
  <LinksUpToDate>false</LinksUpToDate>
  <CharactersWithSpaces>2242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2023-05-05T06:55:00Z</dcterms:created>
  <dc:creator>WPS_1677833946</dc:creator>
  <cp:lastModifiedBy>王凤情</cp:lastModifiedBy>
  <dcterms:modified xsi:type="dcterms:W3CDTF">2023-07-18T03:18:40Z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641BEDD4B39A40AAA4E7DB2F84E63194</vt:lpwstr>
  </property>
</Properties>
</file>