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rPr>
          <w:rFonts w:asciiTheme="majorEastAsia" w:hAnsiTheme="majorEastAsia" w:eastAsiaTheme="majorEastAsia" w:cstheme="majorEastAsia"/>
          <w:b/>
          <w:bCs/>
          <w:color w:val="000000" w:themeColor="text1"/>
          <w:sz w:val="48"/>
          <w:szCs w:val="48"/>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48"/>
          <w:szCs w:val="48"/>
          <w:highlight w:val="none"/>
          <w14:textFill>
            <w14:solidFill>
              <w14:schemeClr w14:val="tx1"/>
            </w14:solidFill>
          </w14:textFill>
        </w:rPr>
        <w:t>南宁市金盾道路清障有限责任公司</w:t>
      </w:r>
    </w:p>
    <w:p>
      <w:pPr>
        <w:spacing w:line="480" w:lineRule="auto"/>
        <w:jc w:val="center"/>
        <w:rPr>
          <w:rFonts w:asciiTheme="majorEastAsia" w:hAnsiTheme="majorEastAsia" w:eastAsiaTheme="majorEastAsia" w:cstheme="majorEastAsia"/>
          <w:b/>
          <w:bCs/>
          <w:color w:val="000000" w:themeColor="text1"/>
          <w:sz w:val="48"/>
          <w:szCs w:val="48"/>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48"/>
          <w:szCs w:val="48"/>
          <w:highlight w:val="none"/>
          <w14:textFill>
            <w14:solidFill>
              <w14:schemeClr w14:val="tx1"/>
            </w14:solidFill>
          </w14:textFill>
        </w:rPr>
        <w:t>人才猎聘及人事代理服务采购项目</w:t>
      </w:r>
    </w:p>
    <w:p>
      <w:pPr>
        <w:spacing w:line="480" w:lineRule="auto"/>
        <w:jc w:val="center"/>
        <w:rPr>
          <w:rFonts w:asciiTheme="majorEastAsia" w:hAnsiTheme="majorEastAsia" w:eastAsiaTheme="majorEastAsia" w:cstheme="majorEastAsia"/>
          <w:b/>
          <w:bCs/>
          <w:color w:val="000000" w:themeColor="text1"/>
          <w:sz w:val="28"/>
          <w:szCs w:val="28"/>
          <w:highlight w:val="none"/>
          <w14:textFill>
            <w14:solidFill>
              <w14:schemeClr w14:val="tx1"/>
            </w14:solidFill>
          </w14:textFill>
        </w:rPr>
      </w:pPr>
    </w:p>
    <w:p>
      <w:pPr>
        <w:spacing w:line="480" w:lineRule="auto"/>
        <w:jc w:val="center"/>
        <w:rPr>
          <w:rFonts w:asciiTheme="majorEastAsia" w:hAnsiTheme="majorEastAsia" w:eastAsiaTheme="majorEastAsia" w:cstheme="majorEastAsia"/>
          <w:b/>
          <w:bCs/>
          <w:color w:val="000000" w:themeColor="text1"/>
          <w:sz w:val="28"/>
          <w:szCs w:val="28"/>
          <w:highlight w:val="none"/>
          <w14:textFill>
            <w14:solidFill>
              <w14:schemeClr w14:val="tx1"/>
            </w14:solidFill>
          </w14:textFill>
        </w:rPr>
      </w:pPr>
    </w:p>
    <w:p>
      <w:pPr>
        <w:spacing w:line="480" w:lineRule="auto"/>
        <w:jc w:val="center"/>
        <w:rPr>
          <w:rFonts w:asciiTheme="majorEastAsia" w:hAnsiTheme="majorEastAsia" w:eastAsiaTheme="majorEastAsia" w:cstheme="majorEastAsia"/>
          <w:b/>
          <w:bCs/>
          <w:color w:val="000000" w:themeColor="text1"/>
          <w:sz w:val="44"/>
          <w:szCs w:val="44"/>
          <w:highlight w:val="none"/>
          <w14:textFill>
            <w14:solidFill>
              <w14:schemeClr w14:val="tx1"/>
            </w14:solidFill>
          </w14:textFill>
        </w:rPr>
      </w:pPr>
    </w:p>
    <w:p>
      <w:pPr>
        <w:spacing w:line="360" w:lineRule="auto"/>
        <w:jc w:val="center"/>
        <w:rPr>
          <w:rFonts w:asciiTheme="majorEastAsia" w:hAnsiTheme="majorEastAsia" w:eastAsiaTheme="majorEastAsia" w:cstheme="majorEastAsia"/>
          <w:b/>
          <w:bCs/>
          <w:color w:val="000000" w:themeColor="text1"/>
          <w:sz w:val="44"/>
          <w:szCs w:val="44"/>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highlight w:val="none"/>
          <w14:textFill>
            <w14:solidFill>
              <w14:schemeClr w14:val="tx1"/>
            </w14:solidFill>
          </w14:textFill>
        </w:rPr>
        <w:t>比</w:t>
      </w:r>
    </w:p>
    <w:p>
      <w:pPr>
        <w:spacing w:line="360" w:lineRule="auto"/>
        <w:rPr>
          <w:rFonts w:asciiTheme="majorEastAsia" w:hAnsiTheme="majorEastAsia" w:eastAsiaTheme="majorEastAsia" w:cstheme="majorEastAsia"/>
          <w:b/>
          <w:bCs/>
          <w:color w:val="000000" w:themeColor="text1"/>
          <w:sz w:val="44"/>
          <w:szCs w:val="44"/>
          <w:highlight w:val="none"/>
          <w14:textFill>
            <w14:solidFill>
              <w14:schemeClr w14:val="tx1"/>
            </w14:solidFill>
          </w14:textFill>
        </w:rPr>
      </w:pPr>
    </w:p>
    <w:p>
      <w:pPr>
        <w:spacing w:line="360" w:lineRule="auto"/>
        <w:jc w:val="center"/>
        <w:rPr>
          <w:rFonts w:asciiTheme="majorEastAsia" w:hAnsiTheme="majorEastAsia" w:eastAsiaTheme="majorEastAsia" w:cstheme="majorEastAsia"/>
          <w:b/>
          <w:bCs/>
          <w:color w:val="000000" w:themeColor="text1"/>
          <w:sz w:val="44"/>
          <w:szCs w:val="44"/>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highlight w:val="none"/>
          <w14:textFill>
            <w14:solidFill>
              <w14:schemeClr w14:val="tx1"/>
            </w14:solidFill>
          </w14:textFill>
        </w:rPr>
        <w:t>选</w:t>
      </w:r>
    </w:p>
    <w:p>
      <w:pPr>
        <w:spacing w:line="360" w:lineRule="auto"/>
        <w:rPr>
          <w:rFonts w:asciiTheme="majorEastAsia" w:hAnsiTheme="majorEastAsia" w:eastAsiaTheme="majorEastAsia" w:cstheme="majorEastAsia"/>
          <w:b/>
          <w:bCs/>
          <w:color w:val="000000" w:themeColor="text1"/>
          <w:sz w:val="44"/>
          <w:szCs w:val="44"/>
          <w:highlight w:val="none"/>
          <w14:textFill>
            <w14:solidFill>
              <w14:schemeClr w14:val="tx1"/>
            </w14:solidFill>
          </w14:textFill>
        </w:rPr>
      </w:pPr>
    </w:p>
    <w:p>
      <w:pPr>
        <w:spacing w:line="360" w:lineRule="auto"/>
        <w:jc w:val="center"/>
        <w:rPr>
          <w:rFonts w:asciiTheme="majorEastAsia" w:hAnsiTheme="majorEastAsia" w:eastAsiaTheme="majorEastAsia" w:cstheme="majorEastAsia"/>
          <w:b/>
          <w:bCs/>
          <w:color w:val="000000" w:themeColor="text1"/>
          <w:sz w:val="44"/>
          <w:szCs w:val="44"/>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highlight w:val="none"/>
          <w14:textFill>
            <w14:solidFill>
              <w14:schemeClr w14:val="tx1"/>
            </w14:solidFill>
          </w14:textFill>
        </w:rPr>
        <w:t>文</w:t>
      </w:r>
    </w:p>
    <w:p>
      <w:pPr>
        <w:spacing w:line="360" w:lineRule="auto"/>
        <w:rPr>
          <w:rFonts w:asciiTheme="majorEastAsia" w:hAnsiTheme="majorEastAsia" w:eastAsiaTheme="majorEastAsia" w:cstheme="majorEastAsia"/>
          <w:b/>
          <w:bCs/>
          <w:color w:val="000000" w:themeColor="text1"/>
          <w:sz w:val="44"/>
          <w:szCs w:val="44"/>
          <w:highlight w:val="none"/>
          <w14:textFill>
            <w14:solidFill>
              <w14:schemeClr w14:val="tx1"/>
            </w14:solidFill>
          </w14:textFill>
        </w:rPr>
      </w:pPr>
    </w:p>
    <w:p>
      <w:pPr>
        <w:spacing w:line="360" w:lineRule="auto"/>
        <w:jc w:val="center"/>
        <w:rPr>
          <w:rFonts w:asciiTheme="majorEastAsia" w:hAnsiTheme="majorEastAsia" w:eastAsiaTheme="majorEastAsia" w:cstheme="majorEastAsia"/>
          <w:b/>
          <w:bCs/>
          <w:color w:val="000000" w:themeColor="text1"/>
          <w:sz w:val="44"/>
          <w:szCs w:val="44"/>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highlight w:val="none"/>
          <w14:textFill>
            <w14:solidFill>
              <w14:schemeClr w14:val="tx1"/>
            </w14:solidFill>
          </w14:textFill>
        </w:rPr>
        <w:t>件</w:t>
      </w:r>
    </w:p>
    <w:p>
      <w:pPr>
        <w:spacing w:line="360" w:lineRule="auto"/>
        <w:rPr>
          <w:rFonts w:asciiTheme="majorEastAsia" w:hAnsiTheme="majorEastAsia" w:eastAsiaTheme="majorEastAsia" w:cstheme="majorEastAsia"/>
          <w:b/>
          <w:bCs/>
          <w:color w:val="000000" w:themeColor="text1"/>
          <w:sz w:val="36"/>
          <w:szCs w:val="36"/>
          <w:highlight w:val="none"/>
          <w14:textFill>
            <w14:solidFill>
              <w14:schemeClr w14:val="tx1"/>
            </w14:solidFill>
          </w14:textFill>
        </w:rPr>
      </w:pPr>
    </w:p>
    <w:p>
      <w:pPr>
        <w:spacing w:line="360" w:lineRule="auto"/>
        <w:ind w:firstLine="1792" w:firstLineChars="498"/>
        <w:rPr>
          <w:rFonts w:asciiTheme="majorEastAsia" w:hAnsiTheme="majorEastAsia" w:eastAsiaTheme="majorEastAsia" w:cstheme="majorEastAsia"/>
          <w:b/>
          <w:bCs/>
          <w:color w:val="000000" w:themeColor="text1"/>
          <w:sz w:val="36"/>
          <w:szCs w:val="36"/>
          <w:highlight w:val="none"/>
          <w14:textFill>
            <w14:solidFill>
              <w14:schemeClr w14:val="tx1"/>
            </w14:solidFill>
          </w14:textFill>
        </w:rPr>
      </w:pPr>
    </w:p>
    <w:p>
      <w:pPr>
        <w:spacing w:line="360" w:lineRule="auto"/>
        <w:ind w:firstLine="1792" w:firstLineChars="498"/>
        <w:rPr>
          <w:rFonts w:asciiTheme="majorEastAsia" w:hAnsiTheme="majorEastAsia" w:eastAsiaTheme="majorEastAsia" w:cstheme="majorEastAsia"/>
          <w:b/>
          <w:bCs/>
          <w:color w:val="000000" w:themeColor="text1"/>
          <w:sz w:val="36"/>
          <w:szCs w:val="36"/>
          <w:highlight w:val="none"/>
          <w14:textFill>
            <w14:solidFill>
              <w14:schemeClr w14:val="tx1"/>
            </w14:solidFill>
          </w14:textFill>
        </w:rPr>
      </w:pPr>
    </w:p>
    <w:p>
      <w:pPr>
        <w:spacing w:line="360" w:lineRule="auto"/>
        <w:ind w:firstLine="1792" w:firstLineChars="498"/>
        <w:rPr>
          <w:rFonts w:asciiTheme="majorEastAsia" w:hAnsiTheme="majorEastAsia" w:eastAsiaTheme="majorEastAsia" w:cstheme="majorEastAsia"/>
          <w:b/>
          <w:bCs/>
          <w:color w:val="000000" w:themeColor="text1"/>
          <w:sz w:val="36"/>
          <w:szCs w:val="36"/>
          <w:highlight w:val="none"/>
          <w14:textFill>
            <w14:solidFill>
              <w14:schemeClr w14:val="tx1"/>
            </w14:solidFill>
          </w14:textFill>
        </w:rPr>
      </w:pPr>
    </w:p>
    <w:p>
      <w:pPr>
        <w:spacing w:line="360" w:lineRule="auto"/>
        <w:jc w:val="center"/>
        <w:rPr>
          <w:rFonts w:asciiTheme="majorEastAsia" w:hAnsiTheme="majorEastAsia" w:eastAsiaTheme="majorEastAsia" w:cs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highlight w:val="none"/>
          <w14:textFill>
            <w14:solidFill>
              <w14:schemeClr w14:val="tx1"/>
            </w14:solidFill>
          </w14:textFill>
        </w:rPr>
        <w:t>比选发起人：南宁市金盾道路清障有限责任公司</w:t>
      </w:r>
    </w:p>
    <w:p>
      <w:pPr>
        <w:jc w:val="center"/>
        <w:rPr>
          <w:rFonts w:asciiTheme="majorEastAsia" w:hAnsiTheme="majorEastAsia" w:eastAsiaTheme="majorEastAsia" w:cs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highlight w:val="none"/>
          <w14:textFill>
            <w14:solidFill>
              <w14:schemeClr w14:val="tx1"/>
            </w14:solidFill>
          </w14:textFill>
        </w:rPr>
        <w:t>二〇二四年六月</w:t>
      </w:r>
    </w:p>
    <w:p>
      <w:pPr>
        <w:tabs>
          <w:tab w:val="right" w:leader="dot" w:pos="9219"/>
        </w:tabs>
        <w:rPr>
          <w:b/>
          <w:color w:val="000000" w:themeColor="text1"/>
          <w:highlight w:val="none"/>
          <w14:textFill>
            <w14:solidFill>
              <w14:schemeClr w14:val="tx1"/>
            </w14:solidFill>
          </w14:textFill>
        </w:rPr>
      </w:pPr>
      <w:bookmarkStart w:id="0" w:name="_Toc23188"/>
      <w:bookmarkStart w:id="1" w:name="_Toc461525293"/>
      <w:bookmarkStart w:id="2" w:name="_Toc9980"/>
      <w:bookmarkStart w:id="3" w:name="_Toc32122"/>
      <w:bookmarkStart w:id="4" w:name="_Toc12363"/>
      <w:bookmarkStart w:id="5" w:name="_Toc20213"/>
      <w:bookmarkStart w:id="6" w:name="_Toc4954"/>
      <w:bookmarkStart w:id="7" w:name="_Toc27692"/>
      <w:bookmarkStart w:id="8" w:name="_Toc471482358"/>
      <w:bookmarkStart w:id="9" w:name="_Toc18159"/>
      <w:bookmarkStart w:id="10" w:name="_Toc14943"/>
      <w:bookmarkStart w:id="11" w:name="_Toc21106"/>
      <w:bookmarkStart w:id="12" w:name="_Toc25905"/>
      <w:r>
        <w:rPr>
          <w:rFonts w:hint="eastAsia"/>
          <w:color w:val="000000" w:themeColor="text1"/>
          <w:highlight w:val="none"/>
          <w14:textFill>
            <w14:solidFill>
              <w14:schemeClr w14:val="tx1"/>
            </w14:solidFill>
          </w14:textFill>
        </w:rPr>
        <w:br w:type="page"/>
      </w:r>
    </w:p>
    <w:p>
      <w:pPr>
        <w:pStyle w:val="2"/>
        <w:tabs>
          <w:tab w:val="right" w:leader="dot" w:pos="9219"/>
        </w:tabs>
        <w:rPr>
          <w:b w:val="0"/>
          <w:color w:val="000000" w:themeColor="text1"/>
          <w:highlight w:val="none"/>
          <w14:textFill>
            <w14:solidFill>
              <w14:schemeClr w14:val="tx1"/>
            </w14:solidFill>
          </w14:textFill>
        </w:rPr>
      </w:pPr>
      <w:bookmarkStart w:id="13" w:name="_Toc28715"/>
      <w:bookmarkStart w:id="14" w:name="_Toc22963"/>
      <w:bookmarkStart w:id="15" w:name="_Toc5798"/>
      <w:bookmarkStart w:id="16" w:name="_Toc10901"/>
      <w:bookmarkStart w:id="17" w:name="_Toc6018"/>
      <w:r>
        <w:rPr>
          <w:rFonts w:hint="eastAsia"/>
          <w:b w:val="0"/>
          <w:color w:val="000000" w:themeColor="text1"/>
          <w:highlight w:val="none"/>
          <w14:textFill>
            <w14:solidFill>
              <w14:schemeClr w14:val="tx1"/>
            </w14:solidFill>
          </w14:textFill>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20"/>
        <w:tabs>
          <w:tab w:val="right" w:leader="dot" w:pos="9219"/>
        </w:tabs>
      </w:pPr>
      <w:r>
        <w:rPr>
          <w:rFonts w:ascii="宋体" w:hAnsi="宋体" w:cs="宋体"/>
          <w:color w:val="000000" w:themeColor="text1"/>
          <w:szCs w:val="28"/>
          <w:highlight w:val="none"/>
          <w14:textFill>
            <w14:solidFill>
              <w14:schemeClr w14:val="tx1"/>
            </w14:solidFill>
          </w14:textFill>
        </w:rPr>
        <w:fldChar w:fldCharType="begin"/>
      </w:r>
      <w:r>
        <w:rPr>
          <w:rFonts w:ascii="宋体" w:hAnsi="宋体" w:cs="宋体"/>
          <w:color w:val="000000" w:themeColor="text1"/>
          <w:szCs w:val="28"/>
          <w:highlight w:val="none"/>
          <w14:textFill>
            <w14:solidFill>
              <w14:schemeClr w14:val="tx1"/>
            </w14:solidFill>
          </w14:textFill>
        </w:rPr>
        <w:instrText xml:space="preserve"> TOC \o "1-2" \h \z \u </w:instrText>
      </w:r>
      <w:r>
        <w:rPr>
          <w:rFonts w:ascii="宋体" w:hAnsi="宋体" w:cs="宋体"/>
          <w:color w:val="000000" w:themeColor="text1"/>
          <w:szCs w:val="28"/>
          <w:highlight w:val="none"/>
          <w14:textFill>
            <w14:solidFill>
              <w14:schemeClr w14:val="tx1"/>
            </w14:solidFill>
          </w14:textFill>
        </w:rPr>
        <w:fldChar w:fldCharType="separate"/>
      </w:r>
    </w:p>
    <w:p>
      <w:pPr>
        <w:pStyle w:val="20"/>
        <w:tabs>
          <w:tab w:val="right" w:leader="dot" w:pos="9219"/>
        </w:tabs>
      </w:pPr>
      <w:r>
        <w:rPr>
          <w:highlight w:val="none"/>
        </w:rPr>
        <w:fldChar w:fldCharType="begin"/>
      </w:r>
      <w:r>
        <w:rPr>
          <w:highlight w:val="none"/>
        </w:rPr>
        <w:instrText xml:space="preserve"> HYPERLINK \l _Toc32562 </w:instrText>
      </w:r>
      <w:r>
        <w:rPr>
          <w:highlight w:val="none"/>
        </w:rPr>
        <w:fldChar w:fldCharType="separate"/>
      </w:r>
      <w:r>
        <w:rPr>
          <w:rFonts w:hint="eastAsia" w:ascii="宋体" w:hAnsi="宋体" w:cs="宋体"/>
          <w:szCs w:val="28"/>
          <w:highlight w:val="none"/>
        </w:rPr>
        <w:t>第一章 比选须知</w:t>
      </w:r>
      <w:r>
        <w:tab/>
      </w:r>
      <w:r>
        <w:fldChar w:fldCharType="begin"/>
      </w:r>
      <w:r>
        <w:instrText xml:space="preserve"> PAGEREF _Toc32562 \h </w:instrText>
      </w:r>
      <w:r>
        <w:fldChar w:fldCharType="separate"/>
      </w:r>
      <w:r>
        <w:t>1</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_Toc4892 </w:instrText>
      </w:r>
      <w:r>
        <w:rPr>
          <w:highlight w:val="none"/>
        </w:rPr>
        <w:fldChar w:fldCharType="separate"/>
      </w:r>
      <w:r>
        <w:rPr>
          <w:rFonts w:hint="eastAsia"/>
          <w:szCs w:val="28"/>
          <w:highlight w:val="none"/>
        </w:rPr>
        <w:t>一、总则</w:t>
      </w:r>
      <w:r>
        <w:tab/>
      </w:r>
      <w:r>
        <w:fldChar w:fldCharType="begin"/>
      </w:r>
      <w:r>
        <w:instrText xml:space="preserve"> PAGEREF _Toc4892 \h </w:instrText>
      </w:r>
      <w:r>
        <w:fldChar w:fldCharType="separate"/>
      </w:r>
      <w:r>
        <w:t>3</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_Toc5468 </w:instrText>
      </w:r>
      <w:r>
        <w:rPr>
          <w:highlight w:val="none"/>
        </w:rPr>
        <w:fldChar w:fldCharType="separate"/>
      </w:r>
      <w:r>
        <w:rPr>
          <w:rFonts w:hint="eastAsia"/>
          <w:szCs w:val="28"/>
          <w:highlight w:val="none"/>
        </w:rPr>
        <w:t>二、比选文件</w:t>
      </w:r>
      <w:r>
        <w:tab/>
      </w:r>
      <w:r>
        <w:fldChar w:fldCharType="begin"/>
      </w:r>
      <w:r>
        <w:instrText xml:space="preserve"> PAGEREF _Toc5468 \h </w:instrText>
      </w:r>
      <w:r>
        <w:fldChar w:fldCharType="separate"/>
      </w:r>
      <w:r>
        <w:t>3</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_Toc14288 </w:instrText>
      </w:r>
      <w:r>
        <w:rPr>
          <w:highlight w:val="none"/>
        </w:rPr>
        <w:fldChar w:fldCharType="separate"/>
      </w:r>
      <w:r>
        <w:rPr>
          <w:rFonts w:hint="eastAsia"/>
          <w:szCs w:val="28"/>
          <w:highlight w:val="none"/>
        </w:rPr>
        <w:t>三、申请比选报价说明</w:t>
      </w:r>
      <w:r>
        <w:tab/>
      </w:r>
      <w:r>
        <w:fldChar w:fldCharType="begin"/>
      </w:r>
      <w:r>
        <w:instrText xml:space="preserve"> PAGEREF _Toc14288 \h </w:instrText>
      </w:r>
      <w:r>
        <w:fldChar w:fldCharType="separate"/>
      </w:r>
      <w:r>
        <w:t>3</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_Toc27467 </w:instrText>
      </w:r>
      <w:r>
        <w:rPr>
          <w:highlight w:val="none"/>
        </w:rPr>
        <w:fldChar w:fldCharType="separate"/>
      </w:r>
      <w:r>
        <w:rPr>
          <w:rFonts w:hint="eastAsia"/>
          <w:szCs w:val="28"/>
          <w:highlight w:val="none"/>
        </w:rPr>
        <w:t>四、比选申请文件的编制</w:t>
      </w:r>
      <w:r>
        <w:tab/>
      </w:r>
      <w:r>
        <w:fldChar w:fldCharType="begin"/>
      </w:r>
      <w:r>
        <w:instrText xml:space="preserve"> PAGEREF _Toc27467 \h </w:instrText>
      </w:r>
      <w:r>
        <w:fldChar w:fldCharType="separate"/>
      </w:r>
      <w:r>
        <w:t>3</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_Toc32003 </w:instrText>
      </w:r>
      <w:r>
        <w:rPr>
          <w:highlight w:val="none"/>
        </w:rPr>
        <w:fldChar w:fldCharType="separate"/>
      </w:r>
      <w:r>
        <w:rPr>
          <w:rFonts w:hint="eastAsia"/>
          <w:szCs w:val="28"/>
          <w:highlight w:val="none"/>
        </w:rPr>
        <w:t>五、比选申请文件的递交</w:t>
      </w:r>
      <w:r>
        <w:tab/>
      </w:r>
      <w:r>
        <w:fldChar w:fldCharType="begin"/>
      </w:r>
      <w:r>
        <w:instrText xml:space="preserve"> PAGEREF _Toc32003 \h </w:instrText>
      </w:r>
      <w:r>
        <w:fldChar w:fldCharType="separate"/>
      </w:r>
      <w:r>
        <w:t>5</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_Toc3405 </w:instrText>
      </w:r>
      <w:r>
        <w:rPr>
          <w:highlight w:val="none"/>
        </w:rPr>
        <w:fldChar w:fldCharType="separate"/>
      </w:r>
      <w:r>
        <w:rPr>
          <w:rFonts w:hint="eastAsia"/>
          <w:szCs w:val="28"/>
          <w:highlight w:val="none"/>
        </w:rPr>
        <w:t>六、评比</w:t>
      </w:r>
      <w:r>
        <w:tab/>
      </w:r>
      <w:r>
        <w:fldChar w:fldCharType="begin"/>
      </w:r>
      <w:r>
        <w:instrText xml:space="preserve"> PAGEREF _Toc3405 \h </w:instrText>
      </w:r>
      <w:r>
        <w:fldChar w:fldCharType="separate"/>
      </w:r>
      <w:r>
        <w:t>5</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_Toc28231 </w:instrText>
      </w:r>
      <w:r>
        <w:rPr>
          <w:highlight w:val="none"/>
        </w:rPr>
        <w:fldChar w:fldCharType="separate"/>
      </w:r>
      <w:r>
        <w:rPr>
          <w:rFonts w:hint="eastAsia"/>
          <w:szCs w:val="28"/>
          <w:highlight w:val="none"/>
        </w:rPr>
        <w:t>七、授予合同</w:t>
      </w:r>
      <w:r>
        <w:tab/>
      </w:r>
      <w:r>
        <w:fldChar w:fldCharType="begin"/>
      </w:r>
      <w:r>
        <w:instrText xml:space="preserve"> PAGEREF _Toc28231 \h </w:instrText>
      </w:r>
      <w:r>
        <w:fldChar w:fldCharType="separate"/>
      </w:r>
      <w:r>
        <w:t>6</w:t>
      </w:r>
      <w:r>
        <w:fldChar w:fldCharType="end"/>
      </w:r>
      <w:r>
        <w:rPr>
          <w:highlight w:val="none"/>
        </w:rPr>
        <w:fldChar w:fldCharType="end"/>
      </w:r>
    </w:p>
    <w:p>
      <w:pPr>
        <w:pStyle w:val="20"/>
        <w:tabs>
          <w:tab w:val="right" w:leader="dot" w:pos="9219"/>
        </w:tabs>
      </w:pPr>
      <w:r>
        <w:rPr>
          <w:highlight w:val="none"/>
        </w:rPr>
        <w:fldChar w:fldCharType="begin"/>
      </w:r>
      <w:r>
        <w:rPr>
          <w:highlight w:val="none"/>
        </w:rPr>
        <w:instrText xml:space="preserve"> HYPERLINK \l _Toc12099 </w:instrText>
      </w:r>
      <w:r>
        <w:rPr>
          <w:highlight w:val="none"/>
        </w:rPr>
        <w:fldChar w:fldCharType="separate"/>
      </w:r>
      <w:r>
        <w:rPr>
          <w:rFonts w:hint="eastAsia" w:ascii="宋体" w:hAnsi="宋体" w:cs="宋体"/>
          <w:szCs w:val="28"/>
          <w:highlight w:val="none"/>
        </w:rPr>
        <w:t>第二章</w:t>
      </w:r>
      <w:r>
        <w:rPr>
          <w:rFonts w:ascii="宋体" w:hAnsi="宋体" w:cs="宋体"/>
          <w:szCs w:val="28"/>
          <w:highlight w:val="none"/>
        </w:rPr>
        <w:t xml:space="preserve"> </w:t>
      </w:r>
      <w:r>
        <w:rPr>
          <w:rFonts w:hint="eastAsia" w:ascii="宋体" w:hAnsi="宋体" w:cs="宋体"/>
          <w:szCs w:val="28"/>
          <w:highlight w:val="none"/>
        </w:rPr>
        <w:t>合同条款</w:t>
      </w:r>
      <w:r>
        <w:tab/>
      </w:r>
      <w:r>
        <w:fldChar w:fldCharType="begin"/>
      </w:r>
      <w:r>
        <w:instrText xml:space="preserve"> PAGEREF _Toc12099 \h </w:instrText>
      </w:r>
      <w:r>
        <w:fldChar w:fldCharType="separate"/>
      </w:r>
      <w:r>
        <w:t>8</w:t>
      </w:r>
      <w:r>
        <w:fldChar w:fldCharType="end"/>
      </w:r>
      <w:r>
        <w:rPr>
          <w:highlight w:val="none"/>
        </w:rPr>
        <w:fldChar w:fldCharType="end"/>
      </w:r>
    </w:p>
    <w:p>
      <w:pPr>
        <w:pStyle w:val="20"/>
        <w:tabs>
          <w:tab w:val="right" w:leader="dot" w:pos="9219"/>
        </w:tabs>
      </w:pPr>
      <w:r>
        <w:rPr>
          <w:highlight w:val="none"/>
        </w:rPr>
        <w:fldChar w:fldCharType="begin"/>
      </w:r>
      <w:r>
        <w:rPr>
          <w:highlight w:val="none"/>
        </w:rPr>
        <w:instrText xml:space="preserve"> HYPERLINK \l _Toc13379 </w:instrText>
      </w:r>
      <w:r>
        <w:rPr>
          <w:highlight w:val="none"/>
        </w:rPr>
        <w:fldChar w:fldCharType="separate"/>
      </w:r>
      <w:r>
        <w:rPr>
          <w:rFonts w:hint="eastAsia" w:ascii="宋体" w:hAnsi="宋体" w:cs="宋体"/>
          <w:szCs w:val="28"/>
          <w:highlight w:val="none"/>
        </w:rPr>
        <w:t>第三章 比选申请文件（格式）</w:t>
      </w:r>
      <w:r>
        <w:tab/>
      </w:r>
      <w:r>
        <w:fldChar w:fldCharType="begin"/>
      </w:r>
      <w:r>
        <w:instrText xml:space="preserve"> PAGEREF _Toc13379 \h </w:instrText>
      </w:r>
      <w:r>
        <w:fldChar w:fldCharType="separate"/>
      </w:r>
      <w:r>
        <w:t>12</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_Toc12885 </w:instrText>
      </w:r>
      <w:r>
        <w:rPr>
          <w:highlight w:val="none"/>
        </w:rPr>
        <w:fldChar w:fldCharType="separate"/>
      </w:r>
      <w:r>
        <w:rPr>
          <w:rFonts w:hint="eastAsia"/>
          <w:szCs w:val="28"/>
          <w:highlight w:val="none"/>
        </w:rPr>
        <w:t>一、资格审查文件目录</w:t>
      </w:r>
      <w:r>
        <w:tab/>
      </w:r>
      <w:r>
        <w:fldChar w:fldCharType="begin"/>
      </w:r>
      <w:r>
        <w:instrText xml:space="preserve"> PAGEREF _Toc12885 \h </w:instrText>
      </w:r>
      <w:r>
        <w:fldChar w:fldCharType="separate"/>
      </w:r>
      <w:r>
        <w:t>13</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_Toc8728 </w:instrText>
      </w:r>
      <w:r>
        <w:rPr>
          <w:highlight w:val="none"/>
        </w:rPr>
        <w:fldChar w:fldCharType="separate"/>
      </w:r>
      <w:r>
        <w:rPr>
          <w:rFonts w:hint="eastAsia" w:ascii="Arial" w:hAnsi="Arial"/>
          <w:kern w:val="0"/>
          <w:szCs w:val="28"/>
          <w:highlight w:val="none"/>
        </w:rPr>
        <w:t>二、商务技术部分材料目录</w:t>
      </w:r>
      <w:r>
        <w:tab/>
      </w:r>
      <w:r>
        <w:fldChar w:fldCharType="begin"/>
      </w:r>
      <w:r>
        <w:instrText xml:space="preserve"> PAGEREF _Toc8728 \h </w:instrText>
      </w:r>
      <w:r>
        <w:fldChar w:fldCharType="separate"/>
      </w:r>
      <w:r>
        <w:t>23</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_Toc8536 </w:instrText>
      </w:r>
      <w:r>
        <w:rPr>
          <w:highlight w:val="none"/>
        </w:rPr>
        <w:fldChar w:fldCharType="separate"/>
      </w:r>
      <w:r>
        <w:rPr>
          <w:rFonts w:hint="eastAsia"/>
          <w:highlight w:val="none"/>
        </w:rPr>
        <w:t>三、报价部分材料目录</w:t>
      </w:r>
      <w:r>
        <w:tab/>
      </w:r>
      <w:r>
        <w:fldChar w:fldCharType="begin"/>
      </w:r>
      <w:r>
        <w:instrText xml:space="preserve"> PAGEREF _Toc8536 \h </w:instrText>
      </w:r>
      <w:r>
        <w:fldChar w:fldCharType="separate"/>
      </w:r>
      <w:r>
        <w:t>26</w:t>
      </w:r>
      <w:r>
        <w:fldChar w:fldCharType="end"/>
      </w:r>
      <w:r>
        <w:rPr>
          <w:highlight w:val="none"/>
        </w:rPr>
        <w:fldChar w:fldCharType="end"/>
      </w:r>
    </w:p>
    <w:p>
      <w:pPr>
        <w:pStyle w:val="20"/>
        <w:tabs>
          <w:tab w:val="right" w:leader="dot" w:pos="9219"/>
        </w:tabs>
      </w:pPr>
      <w:r>
        <w:rPr>
          <w:highlight w:val="none"/>
        </w:rPr>
        <w:fldChar w:fldCharType="begin"/>
      </w:r>
      <w:r>
        <w:rPr>
          <w:highlight w:val="none"/>
        </w:rPr>
        <w:instrText xml:space="preserve"> HYPERLINK \l _Toc21171 </w:instrText>
      </w:r>
      <w:r>
        <w:rPr>
          <w:highlight w:val="none"/>
        </w:rPr>
        <w:fldChar w:fldCharType="separate"/>
      </w:r>
      <w:r>
        <w:rPr>
          <w:rFonts w:hint="eastAsia"/>
          <w:highlight w:val="none"/>
        </w:rPr>
        <w:t>第四章 评比办法</w:t>
      </w:r>
      <w:r>
        <w:tab/>
      </w:r>
      <w:r>
        <w:fldChar w:fldCharType="begin"/>
      </w:r>
      <w:r>
        <w:instrText xml:space="preserve"> PAGEREF _Toc21171 \h </w:instrText>
      </w:r>
      <w:r>
        <w:fldChar w:fldCharType="separate"/>
      </w:r>
      <w:r>
        <w:t>28</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_Toc8513 </w:instrText>
      </w:r>
      <w:r>
        <w:rPr>
          <w:highlight w:val="none"/>
        </w:rPr>
        <w:fldChar w:fldCharType="separate"/>
      </w:r>
      <w:r>
        <w:rPr>
          <w:rFonts w:hint="eastAsia" w:asciiTheme="minorEastAsia" w:hAnsiTheme="minorEastAsia" w:eastAsiaTheme="minorEastAsia" w:cstheme="minorEastAsia"/>
          <w:szCs w:val="28"/>
          <w:highlight w:val="none"/>
        </w:rPr>
        <w:t>一、综合评分办法</w:t>
      </w:r>
      <w:r>
        <w:tab/>
      </w:r>
      <w:r>
        <w:fldChar w:fldCharType="begin"/>
      </w:r>
      <w:r>
        <w:instrText xml:space="preserve"> PAGEREF _Toc8513 \h </w:instrText>
      </w:r>
      <w:r>
        <w:fldChar w:fldCharType="separate"/>
      </w:r>
      <w:r>
        <w:t>28</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_Toc32235 </w:instrText>
      </w:r>
      <w:r>
        <w:rPr>
          <w:highlight w:val="none"/>
        </w:rPr>
        <w:fldChar w:fldCharType="separate"/>
      </w:r>
      <w:r>
        <w:rPr>
          <w:rFonts w:hint="eastAsia" w:asciiTheme="minorEastAsia" w:hAnsiTheme="minorEastAsia" w:eastAsiaTheme="minorEastAsia" w:cstheme="minorEastAsia"/>
          <w:szCs w:val="28"/>
          <w:highlight w:val="none"/>
        </w:rPr>
        <w:t>二、总分计算公式</w:t>
      </w:r>
      <w:r>
        <w:tab/>
      </w:r>
      <w:r>
        <w:fldChar w:fldCharType="begin"/>
      </w:r>
      <w:r>
        <w:instrText xml:space="preserve"> PAGEREF _Toc32235 \h </w:instrText>
      </w:r>
      <w:r>
        <w:fldChar w:fldCharType="separate"/>
      </w:r>
      <w:r>
        <w:t>28</w:t>
      </w:r>
      <w:r>
        <w:fldChar w:fldCharType="end"/>
      </w:r>
      <w:r>
        <w:rPr>
          <w:highlight w:val="none"/>
        </w:rPr>
        <w:fldChar w:fldCharType="end"/>
      </w:r>
    </w:p>
    <w:p>
      <w:pPr>
        <w:pStyle w:val="24"/>
        <w:tabs>
          <w:tab w:val="right" w:leader="dot" w:pos="9219"/>
        </w:tabs>
      </w:pPr>
      <w:r>
        <w:rPr>
          <w:highlight w:val="none"/>
        </w:rPr>
        <w:fldChar w:fldCharType="begin"/>
      </w:r>
      <w:r>
        <w:rPr>
          <w:highlight w:val="none"/>
        </w:rPr>
        <w:instrText xml:space="preserve"> HYPERLINK \l _Toc32350 </w:instrText>
      </w:r>
      <w:r>
        <w:rPr>
          <w:highlight w:val="none"/>
        </w:rPr>
        <w:fldChar w:fldCharType="separate"/>
      </w:r>
      <w:r>
        <w:rPr>
          <w:rFonts w:hint="eastAsia" w:asciiTheme="minorEastAsia" w:hAnsiTheme="minorEastAsia" w:eastAsiaTheme="minorEastAsia" w:cstheme="minorEastAsia"/>
          <w:szCs w:val="28"/>
          <w:highlight w:val="none"/>
        </w:rPr>
        <w:t>四、中选标准</w:t>
      </w:r>
      <w:r>
        <w:tab/>
      </w:r>
      <w:r>
        <w:fldChar w:fldCharType="begin"/>
      </w:r>
      <w:r>
        <w:instrText xml:space="preserve"> PAGEREF _Toc32350 \h </w:instrText>
      </w:r>
      <w:r>
        <w:fldChar w:fldCharType="separate"/>
      </w:r>
      <w:r>
        <w:t>30</w:t>
      </w:r>
      <w:r>
        <w:fldChar w:fldCharType="end"/>
      </w:r>
      <w:r>
        <w:rPr>
          <w:highlight w:val="none"/>
        </w:rPr>
        <w:fldChar w:fldCharType="end"/>
      </w:r>
    </w:p>
    <w:p>
      <w:pPr>
        <w:jc w:val="left"/>
        <w:rPr>
          <w:highlight w:val="none"/>
        </w:rPr>
      </w:pPr>
      <w:r>
        <w:rPr>
          <w:highlight w:val="none"/>
        </w:rPr>
        <w:fldChar w:fldCharType="end"/>
      </w:r>
    </w:p>
    <w:p>
      <w:pPr>
        <w:jc w:val="left"/>
        <w:rPr>
          <w:rFonts w:ascii="宋体" w:hAnsi="宋体" w:cs="宋体"/>
          <w:color w:val="000000" w:themeColor="text1"/>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jc w:val="center"/>
        <w:rPr>
          <w:rFonts w:ascii="宋体" w:hAnsi="宋体" w:cs="宋体"/>
          <w:color w:val="000000" w:themeColor="text1"/>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pStyle w:val="2"/>
        <w:spacing w:before="0" w:after="0" w:line="360" w:lineRule="auto"/>
        <w:rPr>
          <w:rFonts w:ascii="宋体" w:hAnsi="宋体" w:cs="宋体"/>
          <w:color w:val="000000" w:themeColor="text1"/>
          <w:szCs w:val="28"/>
          <w:highlight w:val="none"/>
          <w14:textFill>
            <w14:solidFill>
              <w14:schemeClr w14:val="tx1"/>
            </w14:solidFill>
          </w14:textFill>
        </w:rPr>
        <w:sectPr>
          <w:footerReference r:id="rId3" w:type="default"/>
          <w:pgSz w:w="11906" w:h="16838"/>
          <w:pgMar w:top="1440" w:right="1440" w:bottom="1440" w:left="1247" w:header="851" w:footer="992" w:gutter="0"/>
          <w:pgNumType w:start="1"/>
          <w:cols w:space="720" w:num="1"/>
          <w:docGrid w:type="linesAndChars" w:linePitch="312" w:charSpace="0"/>
        </w:sectPr>
      </w:pPr>
      <w:bookmarkStart w:id="18" w:name="_Toc12557"/>
      <w:bookmarkStart w:id="19" w:name="_Toc13391"/>
      <w:bookmarkStart w:id="20" w:name="_Toc471482359"/>
      <w:bookmarkStart w:id="21" w:name="_Toc26777"/>
      <w:bookmarkStart w:id="22" w:name="_Toc461525294"/>
      <w:bookmarkStart w:id="23" w:name="_Toc32556"/>
      <w:bookmarkStart w:id="24" w:name="_Toc24752"/>
      <w:bookmarkStart w:id="25" w:name="_Toc24235"/>
      <w:bookmarkStart w:id="26" w:name="_Toc14177"/>
      <w:bookmarkStart w:id="27" w:name="_Toc27762"/>
      <w:bookmarkStart w:id="28" w:name="_Toc24856"/>
      <w:bookmarkStart w:id="29" w:name="_Toc9092"/>
      <w:bookmarkStart w:id="30" w:name="_Toc11052"/>
      <w:bookmarkStart w:id="31" w:name="_Toc30578"/>
      <w:bookmarkStart w:id="32" w:name="_Toc32719"/>
      <w:bookmarkStart w:id="33" w:name="_Toc14897"/>
      <w:bookmarkStart w:id="34" w:name="_Toc20342"/>
    </w:p>
    <w:p>
      <w:pPr>
        <w:pStyle w:val="2"/>
        <w:spacing w:before="0" w:after="0" w:line="360" w:lineRule="auto"/>
        <w:rPr>
          <w:rFonts w:ascii="宋体" w:hAnsi="宋体" w:cs="宋体"/>
          <w:color w:val="000000" w:themeColor="text1"/>
          <w:szCs w:val="28"/>
          <w:highlight w:val="none"/>
          <w14:textFill>
            <w14:solidFill>
              <w14:schemeClr w14:val="tx1"/>
            </w14:solidFill>
          </w14:textFill>
        </w:rPr>
      </w:pPr>
      <w:bookmarkStart w:id="35" w:name="_Toc17939"/>
      <w:bookmarkStart w:id="36" w:name="_Toc32562"/>
      <w:bookmarkStart w:id="37" w:name="_Toc20914"/>
      <w:r>
        <w:rPr>
          <w:rFonts w:hint="eastAsia" w:ascii="宋体" w:hAnsi="宋体" w:cs="宋体"/>
          <w:color w:val="000000" w:themeColor="text1"/>
          <w:szCs w:val="28"/>
          <w:highlight w:val="none"/>
          <w14:textFill>
            <w14:solidFill>
              <w14:schemeClr w14:val="tx1"/>
            </w14:solidFill>
          </w14:textFill>
        </w:rPr>
        <w:t>第一章 比选须知</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jc w:val="center"/>
        <w:rPr>
          <w:color w:val="000000" w:themeColor="text1"/>
          <w:sz w:val="28"/>
          <w:szCs w:val="20"/>
          <w:highlight w:val="none"/>
          <w14:textFill>
            <w14:solidFill>
              <w14:schemeClr w14:val="tx1"/>
            </w14:solidFill>
          </w14:textFill>
        </w:rPr>
      </w:pPr>
      <w:bookmarkStart w:id="38" w:name="_Toc461525295"/>
      <w:bookmarkStart w:id="39" w:name="_Toc14510"/>
      <w:bookmarkStart w:id="40" w:name="_Toc471482360"/>
      <w:bookmarkStart w:id="41" w:name="_Toc2162"/>
      <w:bookmarkStart w:id="42" w:name="_Toc17254"/>
      <w:bookmarkStart w:id="43" w:name="_Toc17641"/>
      <w:bookmarkStart w:id="44" w:name="_Toc11337"/>
      <w:bookmarkStart w:id="45" w:name="_Toc24239"/>
      <w:bookmarkStart w:id="46" w:name="_Toc2242"/>
      <w:bookmarkStart w:id="47" w:name="_Toc21327"/>
      <w:bookmarkStart w:id="48" w:name="_Toc31166"/>
      <w:bookmarkStart w:id="49" w:name="_Toc11329"/>
      <w:bookmarkStart w:id="50" w:name="_Toc5492"/>
      <w:bookmarkStart w:id="51" w:name="_Toc32591"/>
      <w:bookmarkStart w:id="52" w:name="_Toc18263"/>
      <w:r>
        <w:rPr>
          <w:rFonts w:hint="eastAsia"/>
          <w:color w:val="000000" w:themeColor="text1"/>
          <w:sz w:val="28"/>
          <w:szCs w:val="20"/>
          <w:highlight w:val="none"/>
          <w14:textFill>
            <w14:solidFill>
              <w14:schemeClr w14:val="tx1"/>
            </w14:solidFill>
          </w14:textFill>
        </w:rPr>
        <w:t>比选须知前附表</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75"/>
        <w:gridCol w:w="7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782" w:type="pct"/>
            <w:vAlign w:val="center"/>
          </w:tcPr>
          <w:p>
            <w:pPr>
              <w:jc w:val="center"/>
              <w:rPr>
                <w:rFonts w:ascii="宋体" w:hAnsi="宋体" w:cs="宋体"/>
                <w:color w:val="000000" w:themeColor="text1"/>
                <w:szCs w:val="21"/>
                <w:highlight w:val="none"/>
                <w14:textFill>
                  <w14:solidFill>
                    <w14:schemeClr w14:val="tx1"/>
                  </w14:solidFill>
                </w14:textFill>
              </w:rPr>
            </w:pPr>
            <w:bookmarkStart w:id="53" w:name="_Toc14551"/>
            <w:r>
              <w:rPr>
                <w:rFonts w:hint="eastAsia" w:ascii="宋体" w:hAnsi="宋体" w:cs="宋体"/>
                <w:color w:val="000000" w:themeColor="text1"/>
                <w:szCs w:val="21"/>
                <w:highlight w:val="none"/>
                <w14:textFill>
                  <w14:solidFill>
                    <w14:schemeClr w14:val="tx1"/>
                  </w14:solidFill>
                </w14:textFill>
              </w:rPr>
              <w:t>条款名称</w:t>
            </w:r>
            <w:bookmarkEnd w:id="53"/>
          </w:p>
        </w:tc>
        <w:tc>
          <w:tcPr>
            <w:tcW w:w="3969"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p>
        </w:tc>
        <w:tc>
          <w:tcPr>
            <w:tcW w:w="3969"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南宁市金盾道路清障有限责任公司人才猎聘及人事代理服务采购项目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项目范围</w:t>
            </w:r>
          </w:p>
        </w:tc>
        <w:tc>
          <w:tcPr>
            <w:tcW w:w="3969"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为南宁市金盾道路清障有限责任公司提供人才猎聘及人事代理服务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项目内容</w:t>
            </w:r>
          </w:p>
        </w:tc>
        <w:tc>
          <w:tcPr>
            <w:tcW w:w="3969" w:type="pct"/>
            <w:vAlign w:val="center"/>
          </w:tcPr>
          <w:p>
            <w:pPr>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服务内容包括：协助猎聘关于采购人办理“公路安全设施分项二级、公路机电工程分项二级”“安全生产许可证”资质所需的人员，持证人证书条件由中选人按资质标准猎聘。</w:t>
            </w:r>
          </w:p>
          <w:p>
            <w:pPr>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（具体服务内容详见比选文件中合同条款）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48" w:type="pct"/>
            <w:shd w:val="clear" w:color="auto" w:fill="FFFFFF" w:themeFill="background1"/>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782" w:type="pct"/>
            <w:shd w:val="clear" w:color="auto" w:fill="FFFFFF" w:themeFill="background1"/>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资金来源</w:t>
            </w:r>
          </w:p>
        </w:tc>
        <w:tc>
          <w:tcPr>
            <w:tcW w:w="3969" w:type="pct"/>
            <w:shd w:val="clear" w:color="auto" w:fill="FFFFFF" w:themeFill="background1"/>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计费方式</w:t>
            </w:r>
          </w:p>
        </w:tc>
        <w:tc>
          <w:tcPr>
            <w:tcW w:w="3969"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人才猎聘及人事代理服务费采用总价包干，费用不予调整。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上限控制价</w:t>
            </w:r>
          </w:p>
        </w:tc>
        <w:tc>
          <w:tcPr>
            <w:tcW w:w="3969" w:type="pct"/>
            <w:vAlign w:val="center"/>
          </w:tcPr>
          <w:p>
            <w:pPr>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项目本次项目含税上限控制价为：</w:t>
            </w:r>
            <w:r>
              <w:rPr>
                <w:rFonts w:ascii="宋体" w:hAnsi="宋体" w:cs="宋体"/>
                <w:color w:val="000000" w:themeColor="text1"/>
                <w:szCs w:val="21"/>
                <w:highlight w:val="none"/>
                <w14:textFill>
                  <w14:solidFill>
                    <w14:schemeClr w14:val="tx1"/>
                  </w14:solidFill>
                </w14:textFill>
              </w:rPr>
              <w:t>75</w:t>
            </w:r>
            <w:r>
              <w:rPr>
                <w:rFonts w:hint="eastAsia" w:ascii="宋体" w:hAnsi="宋体" w:cs="宋体"/>
                <w:color w:val="000000" w:themeColor="text1"/>
                <w:szCs w:val="21"/>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报价方式</w:t>
            </w:r>
          </w:p>
        </w:tc>
        <w:tc>
          <w:tcPr>
            <w:tcW w:w="3969"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合同期限</w:t>
            </w:r>
          </w:p>
        </w:tc>
        <w:tc>
          <w:tcPr>
            <w:tcW w:w="3969" w:type="pct"/>
            <w:vAlign w:val="center"/>
          </w:tcPr>
          <w:p>
            <w:pPr>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人才猎聘</w:t>
            </w:r>
            <w:r>
              <w:rPr>
                <w:rFonts w:hint="eastAsia"/>
                <w:szCs w:val="21"/>
                <w:highlight w:val="none"/>
              </w:rPr>
              <w:t>时间在</w:t>
            </w:r>
            <w:r>
              <w:rPr>
                <w:szCs w:val="21"/>
                <w:highlight w:val="none"/>
              </w:rPr>
              <w:t>2024年</w:t>
            </w:r>
            <w:r>
              <w:rPr>
                <w:rFonts w:hint="eastAsia"/>
                <w:szCs w:val="21"/>
                <w:highlight w:val="none"/>
              </w:rPr>
              <w:t>7</w:t>
            </w:r>
            <w:r>
              <w:rPr>
                <w:szCs w:val="21"/>
                <w:highlight w:val="none"/>
              </w:rPr>
              <w:t>月</w:t>
            </w:r>
            <w:r>
              <w:rPr>
                <w:rFonts w:hint="eastAsia"/>
                <w:szCs w:val="21"/>
                <w:highlight w:val="none"/>
                <w:lang w:eastAsia="zh-CN"/>
              </w:rPr>
              <w:t>1</w:t>
            </w:r>
            <w:r>
              <w:rPr>
                <w:rFonts w:hint="eastAsia"/>
                <w:szCs w:val="21"/>
                <w:highlight w:val="none"/>
                <w:lang w:val="en-US" w:eastAsia="zh-CN"/>
              </w:rPr>
              <w:t>2</w:t>
            </w:r>
            <w:r>
              <w:rPr>
                <w:szCs w:val="21"/>
                <w:highlight w:val="none"/>
              </w:rPr>
              <w:t>日前</w:t>
            </w:r>
            <w:r>
              <w:rPr>
                <w:rFonts w:hint="eastAsia" w:ascii="宋体" w:hAnsi="宋体" w:cs="宋体"/>
                <w:color w:val="000000" w:themeColor="text1"/>
                <w:szCs w:val="21"/>
                <w:highlight w:val="none"/>
                <w14:textFill>
                  <w14:solidFill>
                    <w14:schemeClr w14:val="tx1"/>
                  </w14:solidFill>
                </w14:textFill>
              </w:rPr>
              <w:t>完成</w:t>
            </w:r>
            <w:r>
              <w:rPr>
                <w:rFonts w:hint="eastAsia"/>
                <w:szCs w:val="21"/>
                <w:highlight w:val="none"/>
              </w:rPr>
              <w:t>，</w:t>
            </w:r>
            <w:r>
              <w:rPr>
                <w:rFonts w:hint="eastAsia" w:ascii="宋体" w:hAnsi="宋体" w:cs="宋体"/>
                <w:color w:val="000000" w:themeColor="text1"/>
                <w:szCs w:val="21"/>
                <w:highlight w:val="none"/>
                <w14:textFill>
                  <w14:solidFill>
                    <w14:schemeClr w14:val="tx1"/>
                  </w14:solidFill>
                </w14:textFill>
              </w:rPr>
              <w:t>具体</w:t>
            </w:r>
            <w:r>
              <w:rPr>
                <w:rFonts w:hint="eastAsia"/>
                <w:szCs w:val="21"/>
                <w:highlight w:val="none"/>
              </w:rPr>
              <w:t>履约时间详见合同条款</w:t>
            </w:r>
            <w:r>
              <w:rPr>
                <w:rFonts w:hint="eastAsia" w:ascii="宋体" w:hAnsi="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比选申请人资格要求</w:t>
            </w:r>
          </w:p>
        </w:tc>
        <w:tc>
          <w:tcPr>
            <w:tcW w:w="3969" w:type="pct"/>
            <w:vAlign w:val="center"/>
          </w:tcPr>
          <w:p>
            <w:pPr>
              <w:pStyle w:val="26"/>
              <w:shd w:val="clear" w:color="auto" w:fill="FFFFFF"/>
              <w:rPr>
                <w:rFonts w:ascii="宋体" w:hAnsi="宋体" w:cs="Arial"/>
                <w:color w:val="000000" w:themeColor="text1"/>
                <w:kern w:val="0"/>
                <w:sz w:val="21"/>
                <w:szCs w:val="21"/>
                <w:highlight w:val="none"/>
                <w14:textFill>
                  <w14:solidFill>
                    <w14:schemeClr w14:val="tx1"/>
                  </w14:solidFill>
                </w14:textFill>
              </w:rPr>
            </w:pPr>
            <w:r>
              <w:rPr>
                <w:rFonts w:ascii="宋体" w:hAnsi="宋体" w:cs="Arial"/>
                <w:color w:val="000000" w:themeColor="text1"/>
                <w:kern w:val="0"/>
                <w:sz w:val="21"/>
                <w:szCs w:val="21"/>
                <w:highlight w:val="none"/>
                <w14:textFill>
                  <w14:solidFill>
                    <w14:schemeClr w14:val="tx1"/>
                  </w14:solidFill>
                </w14:textFill>
              </w:rPr>
              <w:t>1.中华人民共和国境内依法设立，经营范围含信息咨询或人力资源服务等相关内容的</w:t>
            </w:r>
            <w:r>
              <w:rPr>
                <w:rFonts w:hint="eastAsia" w:ascii="宋体" w:hAnsi="宋体" w:cs="Arial"/>
                <w:color w:val="000000" w:themeColor="text1"/>
                <w:kern w:val="0"/>
                <w:sz w:val="21"/>
                <w:szCs w:val="21"/>
                <w:highlight w:val="none"/>
                <w14:textFill>
                  <w14:solidFill>
                    <w14:schemeClr w14:val="tx1"/>
                  </w14:solidFill>
                </w14:textFill>
              </w:rPr>
              <w:t>企业。</w:t>
            </w:r>
          </w:p>
          <w:p>
            <w:pPr>
              <w:pStyle w:val="26"/>
              <w:shd w:val="clear" w:color="auto" w:fill="FFFFFF"/>
              <w:rPr>
                <w:rFonts w:ascii="宋体" w:hAnsi="宋体" w:cs="Arial"/>
                <w:color w:val="000000" w:themeColor="text1"/>
                <w:kern w:val="0"/>
                <w:sz w:val="21"/>
                <w:szCs w:val="21"/>
                <w:highlight w:val="none"/>
                <w14:textFill>
                  <w14:solidFill>
                    <w14:schemeClr w14:val="tx1"/>
                  </w14:solidFill>
                </w14:textFill>
              </w:rPr>
            </w:pPr>
            <w:r>
              <w:rPr>
                <w:rFonts w:ascii="宋体" w:hAnsi="宋体" w:cs="Arial"/>
                <w:color w:val="000000" w:themeColor="text1"/>
                <w:kern w:val="0"/>
                <w:sz w:val="21"/>
                <w:szCs w:val="21"/>
                <w:highlight w:val="none"/>
                <w14:textFill>
                  <w14:solidFill>
                    <w14:schemeClr w14:val="tx1"/>
                  </w14:solidFill>
                </w14:textFill>
              </w:rPr>
              <w:t>2.最近3年没有受到行政处罚或行业处分。</w:t>
            </w:r>
          </w:p>
          <w:p>
            <w:pPr>
              <w:pStyle w:val="26"/>
              <w:shd w:val="clear" w:color="auto" w:fill="FFFFFF"/>
              <w:rPr>
                <w:rFonts w:ascii="宋体" w:hAnsi="宋体" w:cs="Arial"/>
                <w:color w:val="000000" w:themeColor="text1"/>
                <w:kern w:val="0"/>
                <w:sz w:val="21"/>
                <w:szCs w:val="21"/>
                <w:highlight w:val="none"/>
                <w14:textFill>
                  <w14:solidFill>
                    <w14:schemeClr w14:val="tx1"/>
                  </w14:solidFill>
                </w14:textFill>
              </w:rPr>
            </w:pPr>
            <w:r>
              <w:rPr>
                <w:rFonts w:ascii="宋体" w:hAnsi="宋体" w:cs="Arial"/>
                <w:color w:val="000000" w:themeColor="text1"/>
                <w:kern w:val="0"/>
                <w:sz w:val="21"/>
                <w:szCs w:val="21"/>
                <w:highlight w:val="none"/>
                <w14:textFill>
                  <w14:solidFill>
                    <w14:schemeClr w14:val="tx1"/>
                  </w14:solidFill>
                </w14:textFill>
              </w:rPr>
              <w:t>3.未被国家、广西壮族自治区、南宁市相关行政主管部门通报停止投标活动，无犯罪行贿记录。</w:t>
            </w:r>
          </w:p>
          <w:p>
            <w:pPr>
              <w:rPr>
                <w:rFonts w:ascii="宋体" w:hAnsi="宋体" w:cs="Arial"/>
                <w:color w:val="000000" w:themeColor="text1"/>
                <w:kern w:val="0"/>
                <w:szCs w:val="21"/>
                <w:highlight w:val="none"/>
                <w14:textFill>
                  <w14:solidFill>
                    <w14:schemeClr w14:val="tx1"/>
                  </w14:solidFill>
                </w14:textFill>
              </w:rPr>
            </w:pPr>
            <w:r>
              <w:rPr>
                <w:rFonts w:ascii="宋体" w:hAnsi="宋体" w:cs="Arial"/>
                <w:color w:val="000000" w:themeColor="text1"/>
                <w:kern w:val="0"/>
                <w:szCs w:val="21"/>
                <w:highlight w:val="none"/>
                <w14:textFill>
                  <w14:solidFill>
                    <w14:schemeClr w14:val="tx1"/>
                  </w14:solidFill>
                </w14:textFill>
              </w:rPr>
              <w:t>4.</w:t>
            </w:r>
            <w:r>
              <w:rPr>
                <w:rFonts w:hint="eastAsia" w:ascii="宋体" w:hAnsi="宋体" w:cs="Arial"/>
                <w:color w:val="000000" w:themeColor="text1"/>
                <w:kern w:val="0"/>
                <w:szCs w:val="21"/>
                <w:highlight w:val="none"/>
                <w14:textFill>
                  <w14:solidFill>
                    <w14:schemeClr w14:val="tx1"/>
                  </w14:solidFill>
                </w14:textFill>
              </w:rPr>
              <w:t>本次比选不接受联合体报价。</w:t>
            </w:r>
          </w:p>
          <w:p>
            <w:pPr>
              <w:rPr>
                <w:rFonts w:ascii="宋体" w:hAnsi="宋体" w:cs="Arial"/>
                <w:color w:val="000000" w:themeColor="text1"/>
                <w:kern w:val="0"/>
                <w:szCs w:val="21"/>
                <w:highlight w:val="none"/>
                <w14:textFill>
                  <w14:solidFill>
                    <w14:schemeClr w14:val="tx1"/>
                  </w14:solidFill>
                </w14:textFill>
              </w:rPr>
            </w:pPr>
            <w:r>
              <w:rPr>
                <w:rFonts w:hint="eastAsia" w:ascii="宋体" w:hAnsi="宋体" w:cs="Arial"/>
                <w:color w:val="000000" w:themeColor="text1"/>
                <w:kern w:val="0"/>
                <w:szCs w:val="21"/>
                <w:highlight w:val="none"/>
                <w14:textFill>
                  <w14:solidFill>
                    <w14:schemeClr w14:val="tx1"/>
                  </w14:solidFill>
                </w14:textFill>
              </w:rPr>
              <w:t>5</w:t>
            </w:r>
            <w:r>
              <w:rPr>
                <w:rFonts w:ascii="宋体" w:hAnsi="宋体" w:cs="Arial"/>
                <w:color w:val="000000" w:themeColor="text1"/>
                <w:kern w:val="0"/>
                <w:szCs w:val="21"/>
                <w:highlight w:val="none"/>
                <w14:textFill>
                  <w14:solidFill>
                    <w14:schemeClr w14:val="tx1"/>
                  </w14:solidFill>
                </w14:textFill>
              </w:rPr>
              <w:t>.</w:t>
            </w:r>
            <w:r>
              <w:rPr>
                <w:rFonts w:hint="eastAsia" w:ascii="宋体" w:hAnsi="宋体"/>
                <w:color w:val="000000"/>
                <w:szCs w:val="21"/>
                <w:highlight w:val="none"/>
              </w:rPr>
              <w:t>在“信用中国”和“中国政府采购网”“中国执行信息公开网”等网站未被列入失信被执行人、重大税收违法案件当事人名单、政府采购严重违法失信行为记录名单。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获取比选文件的时间、地点、方式及比选文件售价</w:t>
            </w:r>
          </w:p>
        </w:tc>
        <w:tc>
          <w:tcPr>
            <w:tcW w:w="3969"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时间：自公告发布之日起。</w:t>
            </w:r>
          </w:p>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地点：南宁轨道交通集团有限责任公司官网。</w:t>
            </w:r>
          </w:p>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方式：本项目实行网上发售电子版比选文件，不再出售纸质比选文件。凡有意参与的潜在比选申请人，请登录南宁轨道交通集团有限责任公司官网(</w:t>
            </w:r>
            <w:r>
              <w:rPr>
                <w:rFonts w:ascii="宋体" w:hAnsi="宋体" w:cs="宋体"/>
                <w:color w:val="000000" w:themeColor="text1"/>
                <w:szCs w:val="21"/>
                <w:highlight w:val="none"/>
                <w14:textFill>
                  <w14:solidFill>
                    <w14:schemeClr w14:val="tx1"/>
                  </w14:solidFill>
                </w14:textFill>
              </w:rPr>
              <w:t>http://www.nngdjt.com/</w:t>
            </w:r>
            <w:r>
              <w:rPr>
                <w:rFonts w:hint="eastAsia" w:ascii="宋体" w:hAnsi="宋体" w:cs="宋体"/>
                <w:color w:val="000000" w:themeColor="text1"/>
                <w:szCs w:val="21"/>
                <w:highlight w:val="none"/>
                <w14:textFill>
                  <w14:solidFill>
                    <w14:schemeClr w14:val="tx1"/>
                  </w14:solidFill>
                </w14:textFill>
              </w:rPr>
              <w:t>)的招标招商中的招标公告处下载比选文件。</w:t>
            </w:r>
          </w:p>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p>
        </w:tc>
        <w:tc>
          <w:tcPr>
            <w:tcW w:w="782" w:type="pct"/>
            <w:vAlign w:val="center"/>
          </w:tcPr>
          <w:p>
            <w:pPr>
              <w:rPr>
                <w:rFonts w:ascii="宋体" w:hAnsi="宋体" w:cs="宋体"/>
                <w:szCs w:val="21"/>
                <w:highlight w:val="none"/>
              </w:rPr>
            </w:pPr>
            <w:r>
              <w:rPr>
                <w:rFonts w:hint="eastAsia" w:ascii="宋体" w:hAnsi="宋体" w:cs="宋体"/>
                <w:szCs w:val="21"/>
                <w:highlight w:val="none"/>
              </w:rPr>
              <w:t>比选有效期</w:t>
            </w:r>
          </w:p>
        </w:tc>
        <w:tc>
          <w:tcPr>
            <w:tcW w:w="3969" w:type="pct"/>
            <w:vAlign w:val="center"/>
          </w:tcPr>
          <w:p>
            <w:pPr>
              <w:rPr>
                <w:rFonts w:ascii="宋体" w:hAnsi="宋体" w:cs="宋体"/>
                <w:szCs w:val="21"/>
                <w:highlight w:val="none"/>
              </w:rPr>
            </w:pPr>
            <w:r>
              <w:rPr>
                <w:rFonts w:hint="eastAsia" w:ascii="宋体" w:hAnsi="宋体" w:cs="宋体"/>
                <w:szCs w:val="21"/>
                <w:highlight w:val="none"/>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比选申请文件份数</w:t>
            </w:r>
          </w:p>
        </w:tc>
        <w:tc>
          <w:tcPr>
            <w:tcW w:w="3969"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w:t>
            </w:r>
          </w:p>
        </w:tc>
        <w:tc>
          <w:tcPr>
            <w:tcW w:w="782" w:type="pct"/>
            <w:vAlign w:val="center"/>
          </w:tcPr>
          <w:p>
            <w:pPr>
              <w:rPr>
                <w:rFonts w:ascii="宋体" w:hAnsi="宋体" w:cs="宋体"/>
                <w:szCs w:val="21"/>
                <w:highlight w:val="none"/>
              </w:rPr>
            </w:pPr>
            <w:r>
              <w:rPr>
                <w:rFonts w:hint="eastAsia" w:ascii="宋体" w:hAnsi="宋体" w:cs="宋体"/>
                <w:szCs w:val="21"/>
                <w:highlight w:val="none"/>
              </w:rPr>
              <w:t>比选申请文件递交地址</w:t>
            </w:r>
          </w:p>
        </w:tc>
        <w:tc>
          <w:tcPr>
            <w:tcW w:w="3969" w:type="pct"/>
            <w:vAlign w:val="center"/>
          </w:tcPr>
          <w:p>
            <w:pPr>
              <w:rPr>
                <w:rFonts w:ascii="宋体" w:hAnsi="宋体" w:cs="宋体"/>
                <w:szCs w:val="21"/>
                <w:highlight w:val="none"/>
              </w:rPr>
            </w:pPr>
            <w:r>
              <w:rPr>
                <w:rFonts w:hint="eastAsia" w:ascii="宋体" w:hAnsi="宋体" w:cs="宋体"/>
                <w:szCs w:val="21"/>
                <w:highlight w:val="none"/>
              </w:rPr>
              <w:t>比选申请文件现场递交地点：南宁市友谊路21-6号南宁市金盾道路清障有限责任公司三楼311-312室。</w:t>
            </w:r>
          </w:p>
          <w:p>
            <w:pPr>
              <w:rPr>
                <w:rFonts w:ascii="宋体" w:hAnsi="宋体" w:cs="宋体"/>
                <w:szCs w:val="21"/>
                <w:highlight w:val="none"/>
              </w:rPr>
            </w:pPr>
            <w:r>
              <w:rPr>
                <w:rFonts w:hint="eastAsia" w:ascii="宋体" w:hAnsi="宋体" w:cs="宋体"/>
                <w:szCs w:val="21"/>
                <w:highlight w:val="none"/>
              </w:rPr>
              <w:t>比选申请文件邮寄地址：南宁市友谊路21-6号南宁市金盾道路清障有限责任公司三楼309室。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8" w:type="pct"/>
            <w:shd w:val="clear" w:color="auto" w:fill="FFFFFF" w:themeFill="background1"/>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w:t>
            </w:r>
          </w:p>
        </w:tc>
        <w:tc>
          <w:tcPr>
            <w:tcW w:w="782" w:type="pct"/>
            <w:shd w:val="clear" w:color="auto" w:fill="FFFFFF" w:themeFill="background1"/>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比选申请文件递交截止日期</w:t>
            </w:r>
          </w:p>
        </w:tc>
        <w:tc>
          <w:tcPr>
            <w:tcW w:w="3969" w:type="pct"/>
            <w:shd w:val="clear" w:color="auto" w:fill="FFFFFF" w:themeFill="background1"/>
            <w:vAlign w:val="center"/>
          </w:tcPr>
          <w:p>
            <w:pPr>
              <w:rPr>
                <w:rFonts w:ascii="宋体" w:hAnsi="宋体" w:cs="宋体"/>
                <w:szCs w:val="21"/>
                <w:highlight w:val="none"/>
              </w:rPr>
            </w:pPr>
            <w:r>
              <w:rPr>
                <w:rFonts w:hint="eastAsia" w:ascii="宋体" w:hAnsi="宋体" w:cs="宋体"/>
                <w:szCs w:val="21"/>
                <w:highlight w:val="none"/>
              </w:rPr>
              <w:t>比选申请文件递交截止日期：</w:t>
            </w:r>
            <w:r>
              <w:rPr>
                <w:rFonts w:ascii="宋体" w:hAnsi="宋体" w:cs="宋体"/>
                <w:szCs w:val="21"/>
                <w:highlight w:val="none"/>
              </w:rPr>
              <w:t>2024</w:t>
            </w:r>
            <w:r>
              <w:rPr>
                <w:rFonts w:hint="eastAsia" w:ascii="宋体" w:hAnsi="宋体" w:cs="宋体"/>
                <w:szCs w:val="21"/>
                <w:highlight w:val="none"/>
              </w:rPr>
              <w:t>年</w:t>
            </w:r>
            <w:r>
              <w:rPr>
                <w:rFonts w:ascii="宋体" w:hAnsi="宋体" w:cs="宋体"/>
                <w:szCs w:val="21"/>
                <w:highlight w:val="none"/>
              </w:rPr>
              <w:t>7</w:t>
            </w:r>
            <w:r>
              <w:rPr>
                <w:rFonts w:hint="eastAsia" w:ascii="宋体" w:hAnsi="宋体" w:cs="宋体"/>
                <w:szCs w:val="21"/>
                <w:highlight w:val="none"/>
              </w:rPr>
              <w:t>月4日下午15</w:t>
            </w:r>
            <w:r>
              <w:rPr>
                <w:rFonts w:ascii="宋体" w:hAnsi="宋体" w:cs="宋体"/>
                <w:szCs w:val="21"/>
                <w:highlight w:val="none"/>
              </w:rPr>
              <w:t>:</w:t>
            </w:r>
            <w:r>
              <w:rPr>
                <w:rFonts w:hint="eastAsia" w:ascii="宋体" w:hAnsi="宋体" w:cs="宋体"/>
                <w:szCs w:val="21"/>
                <w:highlight w:val="none"/>
              </w:rPr>
              <w:t>0</w:t>
            </w:r>
            <w:r>
              <w:rPr>
                <w:rFonts w:ascii="宋体" w:hAnsi="宋体" w:cs="宋体"/>
                <w:szCs w:val="21"/>
                <w:highlight w:val="none"/>
              </w:rPr>
              <w:t>0</w:t>
            </w:r>
            <w:r>
              <w:rPr>
                <w:rFonts w:hint="eastAsia" w:ascii="宋体" w:hAnsi="宋体" w:cs="宋体"/>
                <w:szCs w:val="21"/>
                <w:highlight w:val="none"/>
              </w:rPr>
              <w:t>前。</w:t>
            </w:r>
          </w:p>
          <w:p>
            <w:pPr>
              <w:rPr>
                <w:rFonts w:ascii="宋体" w:hAnsi="宋体" w:cs="宋体"/>
                <w:szCs w:val="21"/>
                <w:highlight w:val="none"/>
              </w:rPr>
            </w:pPr>
            <w:r>
              <w:rPr>
                <w:rFonts w:hint="eastAsia" w:ascii="宋体" w:hAnsi="宋体" w:cs="宋体"/>
                <w:szCs w:val="21"/>
                <w:highlight w:val="none"/>
              </w:rPr>
              <w:t>现场递交文件时间为：</w:t>
            </w:r>
            <w:r>
              <w:rPr>
                <w:rFonts w:ascii="宋体" w:hAnsi="宋体" w:cs="宋体"/>
                <w:szCs w:val="21"/>
                <w:highlight w:val="none"/>
              </w:rPr>
              <w:t>2024</w:t>
            </w:r>
            <w:r>
              <w:rPr>
                <w:rFonts w:hint="eastAsia" w:ascii="宋体" w:hAnsi="宋体" w:cs="宋体"/>
                <w:szCs w:val="21"/>
                <w:highlight w:val="none"/>
              </w:rPr>
              <w:t>年</w:t>
            </w:r>
            <w:r>
              <w:rPr>
                <w:rFonts w:ascii="宋体" w:hAnsi="宋体" w:cs="宋体"/>
                <w:szCs w:val="21"/>
                <w:highlight w:val="none"/>
              </w:rPr>
              <w:t>7</w:t>
            </w:r>
            <w:r>
              <w:rPr>
                <w:rFonts w:hint="eastAsia" w:ascii="宋体" w:hAnsi="宋体" w:cs="宋体"/>
                <w:szCs w:val="21"/>
                <w:highlight w:val="none"/>
              </w:rPr>
              <w:t>月4日下午14：3</w:t>
            </w:r>
            <w:r>
              <w:rPr>
                <w:rFonts w:ascii="宋体" w:hAnsi="宋体" w:cs="宋体"/>
                <w:szCs w:val="21"/>
                <w:highlight w:val="none"/>
              </w:rPr>
              <w:t>0</w:t>
            </w:r>
            <w:r>
              <w:rPr>
                <w:rFonts w:hint="eastAsia" w:ascii="宋体" w:hAnsi="宋体" w:cs="宋体"/>
                <w:szCs w:val="21"/>
                <w:highlight w:val="none"/>
              </w:rPr>
              <w:t>—15</w:t>
            </w:r>
            <w:r>
              <w:rPr>
                <w:rFonts w:ascii="宋体" w:hAnsi="宋体" w:cs="宋体"/>
                <w:szCs w:val="21"/>
                <w:highlight w:val="none"/>
              </w:rPr>
              <w:t>:</w:t>
            </w:r>
            <w:r>
              <w:rPr>
                <w:rFonts w:hint="eastAsia" w:ascii="宋体" w:hAnsi="宋体" w:cs="宋体"/>
                <w:szCs w:val="21"/>
                <w:highlight w:val="none"/>
              </w:rPr>
              <w:t>0</w:t>
            </w:r>
            <w:r>
              <w:rPr>
                <w:rFonts w:ascii="宋体" w:hAnsi="宋体" w:cs="宋体"/>
                <w:szCs w:val="21"/>
                <w:highlight w:val="none"/>
              </w:rPr>
              <w:t>0</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48" w:type="pct"/>
            <w:shd w:val="clear" w:color="auto" w:fill="FFFFFF" w:themeFill="background1"/>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w:t>
            </w:r>
          </w:p>
        </w:tc>
        <w:tc>
          <w:tcPr>
            <w:tcW w:w="782" w:type="pct"/>
            <w:shd w:val="clear" w:color="auto" w:fill="FFFFFF" w:themeFill="background1"/>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比选时间、地点</w:t>
            </w:r>
          </w:p>
        </w:tc>
        <w:tc>
          <w:tcPr>
            <w:tcW w:w="3969" w:type="pct"/>
            <w:shd w:val="clear" w:color="auto" w:fill="FFFFFF" w:themeFill="background1"/>
            <w:vAlign w:val="center"/>
          </w:tcPr>
          <w:p>
            <w:pPr>
              <w:rPr>
                <w:rFonts w:ascii="宋体" w:hAnsi="宋体" w:cs="宋体"/>
                <w:szCs w:val="21"/>
                <w:highlight w:val="none"/>
              </w:rPr>
            </w:pPr>
            <w:r>
              <w:rPr>
                <w:rFonts w:hint="eastAsia" w:ascii="宋体" w:hAnsi="宋体" w:cs="宋体"/>
                <w:szCs w:val="21"/>
                <w:highlight w:val="none"/>
              </w:rPr>
              <w:t>时间：</w:t>
            </w:r>
            <w:r>
              <w:rPr>
                <w:rFonts w:ascii="宋体" w:hAnsi="宋体" w:cs="宋体"/>
                <w:szCs w:val="21"/>
                <w:highlight w:val="none"/>
              </w:rPr>
              <w:t>2024年7</w:t>
            </w:r>
            <w:r>
              <w:rPr>
                <w:rFonts w:hint="eastAsia" w:ascii="宋体" w:hAnsi="宋体" w:cs="宋体"/>
                <w:szCs w:val="21"/>
                <w:highlight w:val="none"/>
              </w:rPr>
              <w:t>月4日下午15</w:t>
            </w:r>
            <w:r>
              <w:rPr>
                <w:rFonts w:ascii="宋体" w:hAnsi="宋体" w:cs="宋体"/>
                <w:szCs w:val="21"/>
                <w:highlight w:val="none"/>
              </w:rPr>
              <w:t>:</w:t>
            </w:r>
            <w:r>
              <w:rPr>
                <w:rFonts w:hint="eastAsia" w:ascii="宋体" w:hAnsi="宋体" w:cs="宋体"/>
                <w:szCs w:val="21"/>
                <w:highlight w:val="none"/>
              </w:rPr>
              <w:t>0</w:t>
            </w:r>
            <w:r>
              <w:rPr>
                <w:rFonts w:ascii="宋体" w:hAnsi="宋体" w:cs="宋体"/>
                <w:szCs w:val="21"/>
                <w:highlight w:val="none"/>
              </w:rPr>
              <w:t>0</w:t>
            </w:r>
          </w:p>
          <w:p>
            <w:pPr>
              <w:rPr>
                <w:rFonts w:ascii="宋体" w:hAnsi="宋体" w:cs="宋体"/>
                <w:szCs w:val="21"/>
                <w:highlight w:val="none"/>
              </w:rPr>
            </w:pPr>
            <w:r>
              <w:rPr>
                <w:rFonts w:hint="eastAsia" w:ascii="宋体" w:hAnsi="宋体" w:cs="宋体"/>
                <w:szCs w:val="21"/>
                <w:highlight w:val="none"/>
              </w:rPr>
              <w:t>地点：南宁市友谊路</w:t>
            </w:r>
            <w:r>
              <w:rPr>
                <w:rFonts w:ascii="宋体" w:hAnsi="宋体" w:cs="宋体"/>
                <w:szCs w:val="21"/>
                <w:highlight w:val="none"/>
              </w:rPr>
              <w:t>21-6号南宁市金盾道路清障有限责任公司三楼311-312室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评比办法</w:t>
            </w:r>
          </w:p>
        </w:tc>
        <w:tc>
          <w:tcPr>
            <w:tcW w:w="3969"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中选通知</w:t>
            </w:r>
          </w:p>
        </w:tc>
        <w:tc>
          <w:tcPr>
            <w:tcW w:w="3969"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比选人根据评比委员会的评比结果在比选有效期内向中选的比选申请人发出中选通知书。</w:t>
            </w:r>
          </w:p>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联系方式</w:t>
            </w:r>
          </w:p>
        </w:tc>
        <w:tc>
          <w:tcPr>
            <w:tcW w:w="3969"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联系人：赵工 187 7525 5753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8" w:type="pct"/>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w:t>
            </w:r>
          </w:p>
        </w:tc>
        <w:tc>
          <w:tcPr>
            <w:tcW w:w="782"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其他事项</w:t>
            </w:r>
          </w:p>
        </w:tc>
        <w:tc>
          <w:tcPr>
            <w:tcW w:w="3969" w:type="pct"/>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中选单位如放弃中选资格，则比选发起人有权将其列入不良行为记录名单，三年内禁止其参加比选发起人的任何采购活动。</w:t>
            </w:r>
          </w:p>
        </w:tc>
      </w:tr>
    </w:tbl>
    <w:p>
      <w:pPr>
        <w:rPr>
          <w:highlight w:val="none"/>
        </w:rPr>
      </w:pPr>
      <w:bookmarkStart w:id="54" w:name="_Toc336"/>
      <w:bookmarkStart w:id="55" w:name="_Toc461525297"/>
      <w:bookmarkStart w:id="56" w:name="_Toc471482361"/>
      <w:bookmarkStart w:id="57" w:name="_Toc3861"/>
      <w:bookmarkStart w:id="58" w:name="_Toc32363"/>
      <w:bookmarkStart w:id="59" w:name="_Toc26201"/>
      <w:bookmarkStart w:id="60" w:name="_Toc12419"/>
      <w:bookmarkStart w:id="61" w:name="_Toc16198"/>
      <w:bookmarkStart w:id="62" w:name="_Toc28086"/>
      <w:bookmarkStart w:id="63" w:name="_Toc30162"/>
      <w:bookmarkStart w:id="64" w:name="_Toc6681"/>
      <w:bookmarkStart w:id="65" w:name="_Toc20803"/>
      <w:bookmarkStart w:id="66" w:name="_Toc18983"/>
      <w:bookmarkStart w:id="67" w:name="_Toc12506"/>
    </w:p>
    <w:p>
      <w:pPr>
        <w:rPr>
          <w:highlight w:val="none"/>
        </w:rPr>
      </w:pPr>
    </w:p>
    <w:p>
      <w:pPr>
        <w:rPr>
          <w:highlight w:val="none"/>
        </w:rPr>
      </w:pPr>
    </w:p>
    <w:p>
      <w:pPr>
        <w:rPr>
          <w:highlight w:val="none"/>
        </w:rPr>
      </w:pPr>
    </w:p>
    <w:p>
      <w:pPr>
        <w:rPr>
          <w:highlight w:val="none"/>
        </w:rPr>
      </w:pPr>
    </w:p>
    <w:p>
      <w:pPr>
        <w:rPr>
          <w:highlight w:val="none"/>
        </w:rPr>
      </w:pPr>
    </w:p>
    <w:p>
      <w:pPr>
        <w:jc w:val="center"/>
        <w:rPr>
          <w:b/>
          <w:color w:val="000000" w:themeColor="text1"/>
          <w:sz w:val="32"/>
          <w:szCs w:val="32"/>
          <w:highlight w:val="none"/>
          <w14:textFill>
            <w14:solidFill>
              <w14:schemeClr w14:val="tx1"/>
            </w14:solidFill>
          </w14:textFill>
        </w:rPr>
      </w:pPr>
      <w:bookmarkStart w:id="68" w:name="_Toc18751"/>
      <w:r>
        <w:rPr>
          <w:rFonts w:hint="eastAsia"/>
          <w:b/>
          <w:color w:val="000000" w:themeColor="text1"/>
          <w:sz w:val="32"/>
          <w:szCs w:val="32"/>
          <w:highlight w:val="none"/>
          <w14:textFill>
            <w14:solidFill>
              <w14:schemeClr w14:val="tx1"/>
            </w14:solidFill>
          </w14:textFill>
        </w:rPr>
        <w:br w:type="page"/>
      </w:r>
    </w:p>
    <w:p>
      <w:pPr>
        <w:pStyle w:val="4"/>
        <w:spacing w:before="0" w:after="0" w:line="360" w:lineRule="auto"/>
        <w:jc w:val="center"/>
        <w:rPr>
          <w:b/>
          <w:color w:val="000000" w:themeColor="text1"/>
          <w:szCs w:val="28"/>
          <w:highlight w:val="none"/>
          <w14:textFill>
            <w14:solidFill>
              <w14:schemeClr w14:val="tx1"/>
            </w14:solidFill>
          </w14:textFill>
        </w:rPr>
      </w:pPr>
      <w:bookmarkStart w:id="69" w:name="_Toc23430"/>
      <w:bookmarkStart w:id="70" w:name="_Toc13297"/>
      <w:bookmarkStart w:id="71" w:name="_Toc4892"/>
      <w:bookmarkStart w:id="72" w:name="_Toc11417"/>
      <w:bookmarkStart w:id="73" w:name="_Toc6611"/>
      <w:r>
        <w:rPr>
          <w:rFonts w:hint="eastAsia"/>
          <w:b/>
          <w:color w:val="000000" w:themeColor="text1"/>
          <w:szCs w:val="28"/>
          <w:highlight w:val="none"/>
          <w14:textFill>
            <w14:solidFill>
              <w14:schemeClr w14:val="tx1"/>
            </w14:solidFill>
          </w14:textFill>
        </w:rPr>
        <w:t>一、总则</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ind w:firstLine="420" w:firstLineChars="200"/>
        <w:jc w:val="left"/>
        <w:rPr>
          <w:rFonts w:ascii="宋体" w:hAnsi="宋体" w:cs="宋体"/>
          <w:b/>
          <w:color w:val="000000" w:themeColor="text1"/>
          <w:szCs w:val="21"/>
          <w:highlight w:val="none"/>
          <w14:textFill>
            <w14:solidFill>
              <w14:schemeClr w14:val="tx1"/>
            </w14:solidFill>
          </w14:textFill>
        </w:rPr>
      </w:pPr>
      <w:bookmarkStart w:id="74" w:name="_Toc114052340"/>
      <w:bookmarkStart w:id="75" w:name="_Toc286386834"/>
      <w:bookmarkStart w:id="76" w:name="_Toc114052414"/>
      <w:bookmarkStart w:id="77" w:name="_Toc310318572"/>
      <w:r>
        <w:rPr>
          <w:rFonts w:ascii="宋体" w:hAnsi="宋体" w:cs="宋体"/>
          <w:b/>
          <w:color w:val="000000" w:themeColor="text1"/>
          <w:szCs w:val="21"/>
          <w:highlight w:val="none"/>
          <w14:textFill>
            <w14:solidFill>
              <w14:schemeClr w14:val="tx1"/>
            </w14:solidFill>
          </w14:textFill>
        </w:rPr>
        <w:t>1.项目比选说明</w:t>
      </w:r>
      <w:bookmarkEnd w:id="74"/>
      <w:bookmarkEnd w:id="75"/>
      <w:bookmarkEnd w:id="76"/>
      <w:bookmarkEnd w:id="77"/>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1.1 项目比选的说明见比选须知前附表（以下称“前附表”）第1项～第19</w:t>
      </w:r>
      <w:r>
        <w:rPr>
          <w:rFonts w:hint="eastAsia" w:ascii="宋体" w:hAnsi="宋体" w:cs="宋体"/>
          <w:color w:val="000000" w:themeColor="text1"/>
          <w:szCs w:val="21"/>
          <w:highlight w:val="none"/>
          <w14:textFill>
            <w14:solidFill>
              <w14:schemeClr w14:val="tx1"/>
            </w14:solidFill>
          </w14:textFill>
        </w:rPr>
        <w:t>项所述。</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1.2 上述项目按照国家有关的法律、法规作为依据，并按照南宁市政府现行有关规定执行，</w:t>
      </w:r>
      <w:r>
        <w:rPr>
          <w:rFonts w:hint="eastAsia" w:ascii="宋体" w:hAnsi="宋体" w:cs="宋体"/>
          <w:color w:val="000000" w:themeColor="text1"/>
          <w:szCs w:val="21"/>
          <w:highlight w:val="none"/>
          <w14:textFill>
            <w14:solidFill>
              <w14:schemeClr w14:val="tx1"/>
            </w14:solidFill>
          </w14:textFill>
        </w:rPr>
        <w:t>南宁市金盾道路清障有限责任公司</w:t>
      </w:r>
      <w:r>
        <w:rPr>
          <w:rFonts w:ascii="宋体" w:hAnsi="宋体" w:cs="宋体"/>
          <w:color w:val="000000" w:themeColor="text1"/>
          <w:szCs w:val="21"/>
          <w:highlight w:val="none"/>
          <w14:textFill>
            <w14:solidFill>
              <w14:schemeClr w14:val="tx1"/>
            </w14:solidFill>
          </w14:textFill>
        </w:rPr>
        <w:t>现通过比选来择优选定服务单位。</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2.工作内容</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内容包括：协助猎聘关于采购人办理“公路安全设施分项二级”“公路机电工程分项二级”“安全生产许可证”资质所需的人员，持证人证书条件由中选人按资质标准猎聘。（具体服务内容详见比选文件中合同条款）</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3.资金来源</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资金来源见前附表第4项所述。</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4.</w:t>
      </w:r>
      <w:bookmarkStart w:id="78" w:name="_Toc310318574"/>
      <w:bookmarkStart w:id="79" w:name="_Toc286386836"/>
      <w:bookmarkStart w:id="80" w:name="_Toc114052342"/>
      <w:bookmarkStart w:id="81" w:name="_Toc114052416"/>
      <w:r>
        <w:rPr>
          <w:rFonts w:hint="eastAsia" w:ascii="宋体" w:hAnsi="宋体" w:cs="宋体"/>
          <w:b/>
          <w:color w:val="000000" w:themeColor="text1"/>
          <w:szCs w:val="21"/>
          <w:highlight w:val="none"/>
          <w14:textFill>
            <w14:solidFill>
              <w14:schemeClr w14:val="tx1"/>
            </w14:solidFill>
          </w14:textFill>
        </w:rPr>
        <w:t>比选申请人资格要求</w:t>
      </w:r>
      <w:bookmarkEnd w:id="78"/>
      <w:bookmarkEnd w:id="79"/>
      <w:bookmarkEnd w:id="80"/>
      <w:bookmarkEnd w:id="81"/>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比选申请人必须具有前附表第9项相应的资质及要求。</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5.</w:t>
      </w:r>
      <w:bookmarkStart w:id="82" w:name="_Toc286386837"/>
      <w:bookmarkStart w:id="83" w:name="_Toc114052417"/>
      <w:bookmarkStart w:id="84" w:name="_Toc310318575"/>
      <w:bookmarkStart w:id="85" w:name="_Toc114052343"/>
      <w:r>
        <w:rPr>
          <w:rFonts w:hint="eastAsia" w:ascii="宋体" w:hAnsi="宋体" w:cs="宋体"/>
          <w:b/>
          <w:color w:val="000000" w:themeColor="text1"/>
          <w:szCs w:val="21"/>
          <w:highlight w:val="none"/>
          <w14:textFill>
            <w14:solidFill>
              <w14:schemeClr w14:val="tx1"/>
            </w14:solidFill>
          </w14:textFill>
        </w:rPr>
        <w:t>申请比选费用</w:t>
      </w:r>
      <w:bookmarkEnd w:id="82"/>
      <w:bookmarkEnd w:id="83"/>
      <w:bookmarkEnd w:id="84"/>
      <w:bookmarkEnd w:id="85"/>
    </w:p>
    <w:p>
      <w:pPr>
        <w:tabs>
          <w:tab w:val="left" w:pos="8610"/>
        </w:tabs>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比选申请人应承担其编制文件与递交文件所涉及的一切费用。不管评比结果如何，比选人对上述费用不负任何责任。</w:t>
      </w:r>
    </w:p>
    <w:p>
      <w:pPr>
        <w:pStyle w:val="4"/>
        <w:spacing w:before="0" w:after="0" w:line="360" w:lineRule="auto"/>
        <w:jc w:val="center"/>
        <w:rPr>
          <w:b/>
          <w:color w:val="000000" w:themeColor="text1"/>
          <w:szCs w:val="28"/>
          <w:highlight w:val="none"/>
          <w14:textFill>
            <w14:solidFill>
              <w14:schemeClr w14:val="tx1"/>
            </w14:solidFill>
          </w14:textFill>
        </w:rPr>
      </w:pPr>
      <w:bookmarkStart w:id="86" w:name="_Toc6541"/>
      <w:bookmarkStart w:id="87" w:name="_Toc25256"/>
      <w:bookmarkStart w:id="88" w:name="_Toc14175"/>
      <w:bookmarkStart w:id="89" w:name="_Toc26141"/>
      <w:bookmarkStart w:id="90" w:name="_Toc5468"/>
      <w:bookmarkStart w:id="91" w:name="_Toc3066"/>
      <w:bookmarkStart w:id="92" w:name="_Toc16023"/>
      <w:bookmarkStart w:id="93" w:name="_Toc23691"/>
      <w:bookmarkStart w:id="94" w:name="_Toc471482362"/>
      <w:bookmarkStart w:id="95" w:name="_Toc30319"/>
      <w:bookmarkStart w:id="96" w:name="_Toc20982"/>
      <w:bookmarkStart w:id="97" w:name="_Toc15439"/>
      <w:bookmarkStart w:id="98" w:name="_Toc8029"/>
      <w:bookmarkStart w:id="99" w:name="_Toc18359"/>
      <w:bookmarkStart w:id="100" w:name="_Toc22143"/>
      <w:bookmarkStart w:id="101" w:name="_Toc18809"/>
      <w:bookmarkStart w:id="102" w:name="_Toc5207"/>
      <w:bookmarkStart w:id="103" w:name="_Toc17323"/>
      <w:bookmarkStart w:id="104" w:name="_Toc461525298"/>
      <w:bookmarkStart w:id="105" w:name="_Toc17725"/>
      <w:r>
        <w:rPr>
          <w:rFonts w:hint="eastAsia"/>
          <w:b/>
          <w:color w:val="000000" w:themeColor="text1"/>
          <w:szCs w:val="28"/>
          <w:highlight w:val="none"/>
          <w14:textFill>
            <w14:solidFill>
              <w14:schemeClr w14:val="tx1"/>
            </w14:solidFill>
          </w14:textFill>
        </w:rPr>
        <w:t>二、比选文件</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6.</w:t>
      </w:r>
      <w:bookmarkStart w:id="106" w:name="_Toc114052345"/>
      <w:bookmarkStart w:id="107" w:name="_Toc286386839"/>
      <w:bookmarkStart w:id="108" w:name="_Toc114052419"/>
      <w:bookmarkStart w:id="109" w:name="_Toc310318577"/>
      <w:r>
        <w:rPr>
          <w:rFonts w:hint="eastAsia" w:ascii="宋体" w:hAnsi="宋体" w:cs="宋体"/>
          <w:b/>
          <w:color w:val="000000" w:themeColor="text1"/>
          <w:szCs w:val="21"/>
          <w:highlight w:val="none"/>
          <w14:textFill>
            <w14:solidFill>
              <w14:schemeClr w14:val="tx1"/>
            </w14:solidFill>
          </w14:textFill>
        </w:rPr>
        <w:t>比选文件的组成</w:t>
      </w:r>
      <w:bookmarkEnd w:id="106"/>
      <w:bookmarkEnd w:id="107"/>
      <w:bookmarkEnd w:id="108"/>
      <w:bookmarkEnd w:id="109"/>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6.1比选文件包括比选须知前附表、比选须知、合同条款（格式）、比选申请文件格式、评比办法。</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6.2比选申请人应认真审阅比选文件中所有的比选文件内容要求。如果比选申请人的比选申请文件不能符合比选文件的要求，责任由比选申请人负责。实质上不响应比选文件要求的比选申请文件将被拒绝。</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7.</w:t>
      </w:r>
      <w:bookmarkStart w:id="110" w:name="_Toc286386840"/>
      <w:bookmarkStart w:id="111" w:name="_Toc114052420"/>
      <w:bookmarkStart w:id="112" w:name="_Toc114052346"/>
      <w:bookmarkStart w:id="113" w:name="_Toc310318578"/>
      <w:r>
        <w:rPr>
          <w:rFonts w:hint="eastAsia" w:ascii="宋体" w:hAnsi="宋体" w:cs="宋体"/>
          <w:b/>
          <w:color w:val="000000" w:themeColor="text1"/>
          <w:szCs w:val="21"/>
          <w:highlight w:val="none"/>
          <w14:textFill>
            <w14:solidFill>
              <w14:schemeClr w14:val="tx1"/>
            </w14:solidFill>
          </w14:textFill>
        </w:rPr>
        <w:t>比选文件的解释</w:t>
      </w:r>
      <w:bookmarkEnd w:id="110"/>
      <w:bookmarkEnd w:id="111"/>
      <w:bookmarkEnd w:id="112"/>
      <w:bookmarkEnd w:id="113"/>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7.1比选申请人在获取比选文件后，若有问题需要澄清，均应在递交文件截止时间 3个工作日前的正常工作时间内，用当面递交书面通知比选人，其他方式为无效。比选人将于递交文件截止时间2天前以书面形式,在</w:t>
      </w:r>
      <w:r>
        <w:rPr>
          <w:rFonts w:hint="eastAsia"/>
          <w:highlight w:val="none"/>
        </w:rPr>
        <w:t>南宁轨道交通集团有限责任公司官网(http://www.nngdjt.com/)</w:t>
      </w:r>
      <w:r>
        <w:rPr>
          <w:rFonts w:hint="eastAsia" w:ascii="宋体" w:hAnsi="宋体" w:cs="宋体"/>
          <w:color w:val="000000" w:themeColor="text1"/>
          <w:szCs w:val="21"/>
          <w:highlight w:val="none"/>
          <w14:textFill>
            <w14:solidFill>
              <w14:schemeClr w14:val="tx1"/>
            </w14:solidFill>
          </w14:textFill>
        </w:rPr>
        <w:t>发布，予以答复。</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8.</w:t>
      </w:r>
      <w:bookmarkStart w:id="114" w:name="_Toc286386841"/>
      <w:bookmarkStart w:id="115" w:name="_Toc114052421"/>
      <w:bookmarkStart w:id="116" w:name="_Toc114052347"/>
      <w:bookmarkStart w:id="117" w:name="_Toc310318579"/>
      <w:r>
        <w:rPr>
          <w:rFonts w:hint="eastAsia" w:ascii="宋体" w:hAnsi="宋体" w:cs="宋体"/>
          <w:b/>
          <w:color w:val="000000" w:themeColor="text1"/>
          <w:szCs w:val="21"/>
          <w:highlight w:val="none"/>
          <w14:textFill>
            <w14:solidFill>
              <w14:schemeClr w14:val="tx1"/>
            </w14:solidFill>
          </w14:textFill>
        </w:rPr>
        <w:t>比选文件的修改</w:t>
      </w:r>
      <w:bookmarkEnd w:id="114"/>
      <w:bookmarkEnd w:id="115"/>
      <w:bookmarkEnd w:id="116"/>
      <w:bookmarkEnd w:id="117"/>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8.1 在递交文件截止日期前2天，比选人可以采用补充通知的方式修改比选文件。</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8.2 补充通知将以书面形式，在</w:t>
      </w:r>
      <w:r>
        <w:rPr>
          <w:rFonts w:hint="eastAsia"/>
          <w:highlight w:val="none"/>
        </w:rPr>
        <w:t>南宁轨道交通集团有限责任公司官网(http://www.nngdjt.com/)</w:t>
      </w:r>
      <w:r>
        <w:rPr>
          <w:rFonts w:hint="eastAsia" w:ascii="宋体" w:hAnsi="宋体" w:cs="宋体"/>
          <w:color w:val="000000" w:themeColor="text1"/>
          <w:szCs w:val="21"/>
          <w:highlight w:val="none"/>
          <w14:textFill>
            <w14:solidFill>
              <w14:schemeClr w14:val="tx1"/>
            </w14:solidFill>
          </w14:textFill>
        </w:rPr>
        <w:t>发布，补充通知作为比选文件的组成部分，对比选申请人起约束作用。</w:t>
      </w:r>
    </w:p>
    <w:p>
      <w:pPr>
        <w:pStyle w:val="4"/>
        <w:spacing w:before="0" w:after="0" w:line="360" w:lineRule="auto"/>
        <w:jc w:val="center"/>
        <w:rPr>
          <w:b/>
          <w:color w:val="000000" w:themeColor="text1"/>
          <w:szCs w:val="28"/>
          <w:highlight w:val="none"/>
          <w14:textFill>
            <w14:solidFill>
              <w14:schemeClr w14:val="tx1"/>
            </w14:solidFill>
          </w14:textFill>
        </w:rPr>
      </w:pPr>
      <w:bookmarkStart w:id="118" w:name="_Toc19209"/>
      <w:bookmarkStart w:id="119" w:name="_Toc9199"/>
      <w:bookmarkStart w:id="120" w:name="_Toc30617"/>
      <w:bookmarkStart w:id="121" w:name="_Toc18772"/>
      <w:bookmarkStart w:id="122" w:name="_Toc471482363"/>
      <w:bookmarkStart w:id="123" w:name="_Toc9453"/>
      <w:bookmarkStart w:id="124" w:name="_Toc461525299"/>
      <w:bookmarkStart w:id="125" w:name="_Toc24574"/>
      <w:bookmarkStart w:id="126" w:name="_Toc29216"/>
      <w:bookmarkStart w:id="127" w:name="_Toc9684"/>
      <w:bookmarkStart w:id="128" w:name="_Toc6395"/>
      <w:bookmarkStart w:id="129" w:name="_Toc4578"/>
      <w:bookmarkStart w:id="130" w:name="_Toc23496"/>
      <w:bookmarkStart w:id="131" w:name="_Toc25593"/>
      <w:bookmarkStart w:id="132" w:name="_Toc16571"/>
      <w:bookmarkStart w:id="133" w:name="_Toc8400"/>
      <w:bookmarkStart w:id="134" w:name="_Toc10523"/>
      <w:bookmarkStart w:id="135" w:name="_Toc26897"/>
      <w:bookmarkStart w:id="136" w:name="_Toc7990"/>
      <w:bookmarkStart w:id="137" w:name="_Toc14288"/>
      <w:r>
        <w:rPr>
          <w:rFonts w:hint="eastAsia"/>
          <w:b/>
          <w:color w:val="000000" w:themeColor="text1"/>
          <w:szCs w:val="28"/>
          <w:highlight w:val="none"/>
          <w14:textFill>
            <w14:solidFill>
              <w14:schemeClr w14:val="tx1"/>
            </w14:solidFill>
          </w14:textFill>
        </w:rPr>
        <w:t>三、申请比选报价说明</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9.</w:t>
      </w:r>
      <w:bookmarkStart w:id="138" w:name="_Toc114052423"/>
      <w:bookmarkStart w:id="139" w:name="_Toc114052349"/>
      <w:bookmarkStart w:id="140" w:name="_Toc286386843"/>
      <w:bookmarkStart w:id="141" w:name="_Toc310318581"/>
      <w:r>
        <w:rPr>
          <w:rFonts w:hint="eastAsia" w:ascii="宋体" w:hAnsi="宋体" w:cs="宋体"/>
          <w:b/>
          <w:color w:val="000000" w:themeColor="text1"/>
          <w:szCs w:val="21"/>
          <w:highlight w:val="none"/>
          <w14:textFill>
            <w14:solidFill>
              <w14:schemeClr w14:val="tx1"/>
            </w14:solidFill>
          </w14:textFill>
        </w:rPr>
        <w:t>申请比选</w:t>
      </w:r>
      <w:bookmarkEnd w:id="138"/>
      <w:bookmarkEnd w:id="139"/>
      <w:bookmarkEnd w:id="140"/>
      <w:r>
        <w:rPr>
          <w:rFonts w:hint="eastAsia" w:ascii="宋体" w:hAnsi="宋体" w:cs="宋体"/>
          <w:b/>
          <w:color w:val="000000" w:themeColor="text1"/>
          <w:szCs w:val="21"/>
          <w:highlight w:val="none"/>
          <w14:textFill>
            <w14:solidFill>
              <w14:schemeClr w14:val="tx1"/>
            </w14:solidFill>
          </w14:textFill>
        </w:rPr>
        <w:t>报价</w:t>
      </w:r>
      <w:bookmarkEnd w:id="141"/>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9.1申请比选报价见比选须知前附表第7项所述。</w:t>
      </w:r>
    </w:p>
    <w:p>
      <w:pPr>
        <w:pStyle w:val="4"/>
        <w:spacing w:before="0" w:after="0" w:line="360" w:lineRule="auto"/>
        <w:jc w:val="center"/>
        <w:rPr>
          <w:b/>
          <w:color w:val="000000" w:themeColor="text1"/>
          <w:szCs w:val="28"/>
          <w:highlight w:val="none"/>
          <w14:textFill>
            <w14:solidFill>
              <w14:schemeClr w14:val="tx1"/>
            </w14:solidFill>
          </w14:textFill>
        </w:rPr>
      </w:pPr>
      <w:bookmarkStart w:id="142" w:name="_Toc471482364"/>
      <w:bookmarkStart w:id="143" w:name="_Toc17722"/>
      <w:bookmarkStart w:id="144" w:name="_Toc22694"/>
      <w:bookmarkStart w:id="145" w:name="_Toc18607"/>
      <w:bookmarkStart w:id="146" w:name="_Toc23455"/>
      <w:bookmarkStart w:id="147" w:name="_Toc5583"/>
      <w:bookmarkStart w:id="148" w:name="_Toc25856"/>
      <w:bookmarkStart w:id="149" w:name="_Toc6882"/>
      <w:bookmarkStart w:id="150" w:name="_Toc26723"/>
      <w:bookmarkStart w:id="151" w:name="_Toc17259"/>
      <w:bookmarkStart w:id="152" w:name="_Toc31461"/>
      <w:bookmarkStart w:id="153" w:name="_Toc11943"/>
      <w:bookmarkStart w:id="154" w:name="_Toc461525300"/>
      <w:bookmarkStart w:id="155" w:name="_Toc17188"/>
      <w:bookmarkStart w:id="156" w:name="_Toc30175"/>
      <w:bookmarkStart w:id="157" w:name="_Toc2346"/>
      <w:bookmarkStart w:id="158" w:name="_Toc22138"/>
      <w:bookmarkStart w:id="159" w:name="_Toc23191"/>
      <w:bookmarkStart w:id="160" w:name="_Toc27713"/>
      <w:bookmarkStart w:id="161" w:name="_Toc27467"/>
      <w:r>
        <w:rPr>
          <w:rFonts w:hint="eastAsia"/>
          <w:b/>
          <w:color w:val="000000" w:themeColor="text1"/>
          <w:szCs w:val="28"/>
          <w:highlight w:val="none"/>
          <w14:textFill>
            <w14:solidFill>
              <w14:schemeClr w14:val="tx1"/>
            </w14:solidFill>
          </w14:textFill>
        </w:rPr>
        <w:t>四、比选申请文件的编制</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10.</w:t>
      </w:r>
      <w:bookmarkStart w:id="162" w:name="_Toc310318583"/>
      <w:bookmarkStart w:id="163" w:name="_Toc286386845"/>
      <w:r>
        <w:rPr>
          <w:rFonts w:hint="eastAsia" w:ascii="宋体" w:hAnsi="宋体" w:cs="宋体"/>
          <w:b/>
          <w:color w:val="000000" w:themeColor="text1"/>
          <w:szCs w:val="21"/>
          <w:highlight w:val="none"/>
          <w14:textFill>
            <w14:solidFill>
              <w14:schemeClr w14:val="tx1"/>
            </w14:solidFill>
          </w14:textFill>
        </w:rPr>
        <w:t>比选申请文件编写注意事项</w:t>
      </w:r>
      <w:bookmarkEnd w:id="162"/>
      <w:bookmarkEnd w:id="163"/>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10.2比选文件提出的实质性要求和条件是指本比选项目所涉及的最低人员配置、价格、服务及其它要求、合同条款等内容。</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10.3比选申请人的比选申请文件所有来往函件统一使用中文(特别规定除外)。</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10.4比选申请文件中使用的计量单位除比选文件中有特殊规定外，一律使用法定计量单位。</w:t>
      </w:r>
    </w:p>
    <w:p>
      <w:pPr>
        <w:ind w:firstLine="420" w:firstLineChars="200"/>
        <w:jc w:val="left"/>
        <w:rPr>
          <w:rFonts w:ascii="宋体" w:hAnsi="宋体" w:cs="宋体"/>
          <w:b/>
          <w:color w:val="000000" w:themeColor="text1"/>
          <w:szCs w:val="21"/>
          <w:highlight w:val="none"/>
          <w14:textFill>
            <w14:solidFill>
              <w14:schemeClr w14:val="tx1"/>
            </w14:solidFill>
          </w14:textFill>
        </w:rPr>
      </w:pPr>
      <w:bookmarkStart w:id="164" w:name="_Toc286386846"/>
      <w:bookmarkStart w:id="165" w:name="_Toc114052426"/>
      <w:bookmarkStart w:id="166" w:name="_Toc114052352"/>
      <w:bookmarkStart w:id="167" w:name="_Toc310318584"/>
      <w:r>
        <w:rPr>
          <w:rFonts w:ascii="宋体" w:hAnsi="宋体" w:cs="宋体"/>
          <w:b/>
          <w:color w:val="000000" w:themeColor="text1"/>
          <w:szCs w:val="21"/>
          <w:highlight w:val="none"/>
          <w14:textFill>
            <w14:solidFill>
              <w14:schemeClr w14:val="tx1"/>
            </w14:solidFill>
          </w14:textFill>
        </w:rPr>
        <w:t>11.比选申请文件的组成</w:t>
      </w:r>
      <w:bookmarkEnd w:id="164"/>
      <w:bookmarkEnd w:id="165"/>
      <w:bookmarkEnd w:id="166"/>
      <w:bookmarkEnd w:id="167"/>
    </w:p>
    <w:p>
      <w:pPr>
        <w:ind w:firstLine="420" w:firstLineChars="200"/>
        <w:jc w:val="left"/>
        <w:rPr>
          <w:rFonts w:ascii="宋体" w:hAnsi="宋体" w:cs="宋体"/>
          <w:b/>
          <w:color w:val="000000" w:themeColor="text1"/>
          <w:szCs w:val="21"/>
          <w:highlight w:val="none"/>
          <w14:textFill>
            <w14:solidFill>
              <w14:schemeClr w14:val="tx1"/>
            </w14:solidFill>
          </w14:textFill>
        </w:rPr>
      </w:pPr>
      <w:bookmarkStart w:id="168" w:name="_Toc114052354"/>
      <w:r>
        <w:rPr>
          <w:rFonts w:ascii="宋体" w:hAnsi="宋体" w:cs="宋体"/>
          <w:b/>
          <w:color w:val="000000" w:themeColor="text1"/>
          <w:szCs w:val="21"/>
          <w:highlight w:val="none"/>
          <w14:textFill>
            <w14:solidFill>
              <w14:schemeClr w14:val="tx1"/>
            </w14:solidFill>
          </w14:textFill>
        </w:rPr>
        <w:t>11.1比选申请文件由资格审查部分、</w:t>
      </w:r>
      <w:r>
        <w:rPr>
          <w:rFonts w:hint="eastAsia" w:ascii="宋体" w:hAnsi="宋体" w:cs="宋体"/>
          <w:b/>
          <w:color w:val="000000" w:themeColor="text1"/>
          <w:szCs w:val="21"/>
          <w:highlight w:val="none"/>
          <w14:textFill>
            <w14:solidFill>
              <w14:schemeClr w14:val="tx1"/>
            </w14:solidFill>
          </w14:textFill>
        </w:rPr>
        <w:t>商务</w:t>
      </w:r>
      <w:r>
        <w:rPr>
          <w:rFonts w:ascii="宋体" w:hAnsi="宋体" w:cs="宋体"/>
          <w:b/>
          <w:color w:val="000000" w:themeColor="text1"/>
          <w:szCs w:val="21"/>
          <w:highlight w:val="none"/>
          <w14:textFill>
            <w14:solidFill>
              <w14:schemeClr w14:val="tx1"/>
            </w14:solidFill>
          </w14:textFill>
        </w:rPr>
        <w:t>技术部分、</w:t>
      </w:r>
      <w:r>
        <w:rPr>
          <w:rFonts w:hint="eastAsia" w:ascii="宋体" w:hAnsi="宋体" w:cs="宋体"/>
          <w:b/>
          <w:color w:val="000000" w:themeColor="text1"/>
          <w:szCs w:val="21"/>
          <w:highlight w:val="none"/>
          <w14:textFill>
            <w14:solidFill>
              <w14:schemeClr w14:val="tx1"/>
            </w14:solidFill>
          </w14:textFill>
        </w:rPr>
        <w:t>报价</w:t>
      </w:r>
      <w:r>
        <w:rPr>
          <w:rFonts w:ascii="宋体" w:hAnsi="宋体" w:cs="宋体"/>
          <w:b/>
          <w:color w:val="000000" w:themeColor="text1"/>
          <w:szCs w:val="21"/>
          <w:highlight w:val="none"/>
          <w14:textFill>
            <w14:solidFill>
              <w14:schemeClr w14:val="tx1"/>
            </w14:solidFill>
          </w14:textFill>
        </w:rPr>
        <w:t>部分三部分组成，详细要求与部分格式详见第三章。</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11.2资格审查部分主要包括下列内容：</w:t>
      </w:r>
    </w:p>
    <w:p>
      <w:pPr>
        <w:ind w:firstLine="420" w:firstLineChars="200"/>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w:t>
      </w:r>
      <w:r>
        <w:rPr>
          <w:rFonts w:ascii="宋体" w:hAnsi="宋体" w:cs="宋体"/>
          <w:b/>
          <w:bCs/>
          <w:color w:val="000000" w:themeColor="text1"/>
          <w:szCs w:val="21"/>
          <w:highlight w:val="none"/>
          <w14:textFill>
            <w14:solidFill>
              <w14:schemeClr w14:val="tx1"/>
            </w14:solidFill>
          </w14:textFill>
        </w:rPr>
        <w:t>诚信声明；</w:t>
      </w:r>
    </w:p>
    <w:p>
      <w:pPr>
        <w:ind w:firstLine="420" w:firstLineChars="200"/>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（2）比选函；</w:t>
      </w:r>
    </w:p>
    <w:p>
      <w:pPr>
        <w:ind w:firstLine="420" w:firstLineChars="200"/>
        <w:jc w:val="left"/>
        <w:rPr>
          <w:rFonts w:ascii="宋体" w:hAnsi="宋体" w:cs="宋体"/>
          <w:b/>
          <w:bCs/>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（3）</w:t>
      </w:r>
      <w:r>
        <w:rPr>
          <w:rFonts w:hint="eastAsia" w:ascii="宋体" w:hAnsi="宋体" w:cs="宋体"/>
          <w:b/>
          <w:bCs/>
          <w:color w:val="000000" w:themeColor="text1"/>
          <w:szCs w:val="21"/>
          <w:highlight w:val="none"/>
          <w14:textFill>
            <w14:solidFill>
              <w14:schemeClr w14:val="tx1"/>
            </w14:solidFill>
          </w14:textFill>
        </w:rPr>
        <w:t>公司营业执照；</w:t>
      </w:r>
    </w:p>
    <w:p>
      <w:pPr>
        <w:ind w:firstLine="420" w:firstLineChars="200"/>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w:t>
      </w:r>
      <w:r>
        <w:rPr>
          <w:rFonts w:ascii="宋体" w:hAnsi="宋体" w:cs="宋体"/>
          <w:b/>
          <w:color w:val="000000" w:themeColor="text1"/>
          <w:szCs w:val="21"/>
          <w:highlight w:val="none"/>
          <w14:textFill>
            <w14:solidFill>
              <w14:schemeClr w14:val="tx1"/>
            </w14:solidFill>
          </w14:textFill>
        </w:rPr>
        <w:t>4</w:t>
      </w: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公司法定代表人身份证明；</w:t>
      </w:r>
    </w:p>
    <w:p>
      <w:pPr>
        <w:ind w:firstLine="420" w:firstLineChars="200"/>
        <w:jc w:val="left"/>
        <w:rPr>
          <w:rFonts w:ascii="宋体" w:hAnsi="宋体" w:cs="宋体"/>
          <w:b/>
          <w:bCs/>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（5）</w:t>
      </w:r>
      <w:r>
        <w:rPr>
          <w:rFonts w:hint="eastAsia" w:ascii="宋体" w:hAnsi="宋体" w:cs="宋体"/>
          <w:b/>
          <w:bCs/>
          <w:color w:val="000000" w:themeColor="text1"/>
          <w:szCs w:val="21"/>
          <w:highlight w:val="none"/>
          <w14:textFill>
            <w14:solidFill>
              <w14:schemeClr w14:val="tx1"/>
            </w14:solidFill>
          </w14:textFill>
        </w:rPr>
        <w:t>比选申请文件签署授权委托书</w:t>
      </w:r>
      <w:r>
        <w:rPr>
          <w:rFonts w:ascii="宋体" w:hAnsi="宋体" w:cs="宋体"/>
          <w:b/>
          <w:bCs/>
          <w:color w:val="000000" w:themeColor="text1"/>
          <w:szCs w:val="21"/>
          <w:highlight w:val="none"/>
          <w14:textFill>
            <w14:solidFill>
              <w14:schemeClr w14:val="tx1"/>
            </w14:solidFill>
          </w14:textFill>
        </w:rPr>
        <w:t>；</w:t>
      </w:r>
    </w:p>
    <w:p>
      <w:pPr>
        <w:ind w:firstLine="420" w:firstLineChars="200"/>
        <w:jc w:val="left"/>
        <w:rPr>
          <w:rFonts w:ascii="宋体" w:hAnsi="宋体" w:cs="宋体"/>
          <w:b/>
          <w:bCs/>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6</w:t>
      </w:r>
      <w:r>
        <w:rPr>
          <w:rFonts w:ascii="宋体" w:hAnsi="宋体" w:cs="宋体"/>
          <w:b/>
          <w:color w:val="000000" w:themeColor="text1"/>
          <w:szCs w:val="21"/>
          <w:highlight w:val="none"/>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授权代表人身份证；</w:t>
      </w:r>
    </w:p>
    <w:p>
      <w:pPr>
        <w:ind w:firstLine="420" w:firstLineChars="200"/>
        <w:jc w:val="left"/>
        <w:rPr>
          <w:rFonts w:ascii="宋体" w:hAnsi="宋体" w:cs="宋体"/>
          <w:b/>
          <w:bCs/>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7</w:t>
      </w:r>
      <w:r>
        <w:rPr>
          <w:rFonts w:ascii="宋体" w:hAnsi="宋体" w:cs="宋体"/>
          <w:b/>
          <w:color w:val="000000" w:themeColor="text1"/>
          <w:szCs w:val="21"/>
          <w:highlight w:val="none"/>
          <w14:textFill>
            <w14:solidFill>
              <w14:schemeClr w14:val="tx1"/>
            </w14:solidFill>
          </w14:textFill>
        </w:rPr>
        <w:t>）</w:t>
      </w:r>
      <w:r>
        <w:rPr>
          <w:rFonts w:hint="eastAsia" w:ascii="宋体" w:hAnsi="宋体"/>
          <w:b/>
          <w:bCs/>
          <w:color w:val="000000"/>
          <w:szCs w:val="21"/>
          <w:highlight w:val="none"/>
        </w:rPr>
        <w:t>在“信用中国”和“中国政府采购网”“中国执行信息公开网”网站查询记录；</w:t>
      </w:r>
      <w:bookmarkStart w:id="169" w:name="_Hlk169266467"/>
    </w:p>
    <w:bookmarkEnd w:id="168"/>
    <w:bookmarkEnd w:id="169"/>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11.3</w:t>
      </w:r>
      <w:r>
        <w:rPr>
          <w:rFonts w:hint="eastAsia" w:ascii="宋体" w:hAnsi="宋体" w:cs="宋体"/>
          <w:b/>
          <w:color w:val="000000" w:themeColor="text1"/>
          <w:szCs w:val="21"/>
          <w:highlight w:val="none"/>
          <w14:textFill>
            <w14:solidFill>
              <w14:schemeClr w14:val="tx1"/>
            </w14:solidFill>
          </w14:textFill>
        </w:rPr>
        <w:t>商务</w:t>
      </w:r>
      <w:r>
        <w:rPr>
          <w:rFonts w:ascii="宋体" w:hAnsi="宋体" w:cs="宋体"/>
          <w:b/>
          <w:color w:val="000000" w:themeColor="text1"/>
          <w:szCs w:val="21"/>
          <w:highlight w:val="none"/>
          <w14:textFill>
            <w14:solidFill>
              <w14:schemeClr w14:val="tx1"/>
            </w14:solidFill>
          </w14:textFill>
        </w:rPr>
        <w:t>技术部分主要包括下列内容：</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（1）类似项目业绩表；</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（2）企业综合实力</w:t>
      </w:r>
      <w:r>
        <w:rPr>
          <w:rFonts w:hint="eastAsia" w:ascii="宋体" w:hAnsi="宋体" w:cs="宋体"/>
          <w:b/>
          <w:color w:val="000000" w:themeColor="text1"/>
          <w:szCs w:val="21"/>
          <w:highlight w:val="none"/>
          <w14:textFill>
            <w14:solidFill>
              <w14:schemeClr w14:val="tx1"/>
            </w14:solidFill>
          </w14:textFill>
        </w:rPr>
        <w:t>；</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（3）拟投入人员；</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w:t>
      </w:r>
      <w:r>
        <w:rPr>
          <w:rFonts w:ascii="宋体" w:hAnsi="宋体" w:cs="宋体"/>
          <w:b/>
          <w:color w:val="000000" w:themeColor="text1"/>
          <w:szCs w:val="21"/>
          <w:highlight w:val="none"/>
          <w14:textFill>
            <w14:solidFill>
              <w14:schemeClr w14:val="tx1"/>
            </w14:solidFill>
          </w14:textFill>
        </w:rPr>
        <w:t>4</w:t>
      </w:r>
      <w:r>
        <w:rPr>
          <w:rFonts w:hint="eastAsia" w:ascii="宋体" w:hAnsi="宋体" w:cs="宋体"/>
          <w:b/>
          <w:color w:val="000000" w:themeColor="text1"/>
          <w:szCs w:val="21"/>
          <w:highlight w:val="none"/>
          <w14:textFill>
            <w14:solidFill>
              <w14:schemeClr w14:val="tx1"/>
            </w14:solidFill>
          </w14:textFill>
        </w:rPr>
        <w:t>）承诺书；</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（5）服务方案</w:t>
      </w:r>
      <w:r>
        <w:rPr>
          <w:rFonts w:hint="eastAsia" w:ascii="宋体" w:hAnsi="宋体" w:cs="宋体"/>
          <w:b/>
          <w:color w:val="000000" w:themeColor="text1"/>
          <w:szCs w:val="21"/>
          <w:highlight w:val="none"/>
          <w14:textFill>
            <w14:solidFill>
              <w14:schemeClr w14:val="tx1"/>
            </w14:solidFill>
          </w14:textFill>
        </w:rPr>
        <w:t>；</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11.4</w:t>
      </w:r>
      <w:r>
        <w:rPr>
          <w:rFonts w:hint="eastAsia" w:ascii="宋体" w:hAnsi="宋体" w:cs="宋体"/>
          <w:b/>
          <w:color w:val="000000" w:themeColor="text1"/>
          <w:szCs w:val="21"/>
          <w:highlight w:val="none"/>
          <w14:textFill>
            <w14:solidFill>
              <w14:schemeClr w14:val="tx1"/>
            </w14:solidFill>
          </w14:textFill>
        </w:rPr>
        <w:t>报价</w:t>
      </w:r>
      <w:r>
        <w:rPr>
          <w:rFonts w:ascii="宋体" w:hAnsi="宋体" w:cs="宋体"/>
          <w:b/>
          <w:color w:val="000000" w:themeColor="text1"/>
          <w:szCs w:val="21"/>
          <w:highlight w:val="none"/>
          <w14:textFill>
            <w14:solidFill>
              <w14:schemeClr w14:val="tx1"/>
            </w14:solidFill>
          </w14:textFill>
        </w:rPr>
        <w:t>部分主要包括下列内容：</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w:t>
      </w:r>
      <w:r>
        <w:rPr>
          <w:rFonts w:ascii="宋体" w:hAnsi="宋体" w:cs="宋体"/>
          <w:b/>
          <w:color w:val="000000" w:themeColor="text1"/>
          <w:szCs w:val="21"/>
          <w:highlight w:val="none"/>
          <w14:textFill>
            <w14:solidFill>
              <w14:schemeClr w14:val="tx1"/>
            </w14:solidFill>
          </w14:textFill>
        </w:rPr>
        <w:t>1）报价表</w:t>
      </w:r>
      <w:r>
        <w:rPr>
          <w:rFonts w:hint="eastAsia" w:ascii="宋体" w:hAnsi="宋体" w:cs="宋体"/>
          <w:b/>
          <w:color w:val="000000" w:themeColor="text1"/>
          <w:szCs w:val="21"/>
          <w:highlight w:val="none"/>
          <w14:textFill>
            <w14:solidFill>
              <w14:schemeClr w14:val="tx1"/>
            </w14:solidFill>
          </w14:textFill>
        </w:rPr>
        <w:t>。</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11.5比选申请人需按照比选人提供的比选申请文件格式和顺序另行编制比选申请文件，但表格可以按同样格式扩展。</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12.</w:t>
      </w:r>
      <w:bookmarkStart w:id="170" w:name="_Toc114052363"/>
      <w:bookmarkStart w:id="171" w:name="_Toc286386847"/>
      <w:bookmarkStart w:id="172" w:name="_Toc310318585"/>
      <w:bookmarkStart w:id="173" w:name="_Toc114052427"/>
      <w:r>
        <w:rPr>
          <w:rFonts w:hint="eastAsia" w:ascii="宋体" w:hAnsi="宋体" w:cs="宋体"/>
          <w:b/>
          <w:color w:val="000000" w:themeColor="text1"/>
          <w:szCs w:val="21"/>
          <w:highlight w:val="none"/>
          <w14:textFill>
            <w14:solidFill>
              <w14:schemeClr w14:val="tx1"/>
            </w14:solidFill>
          </w14:textFill>
        </w:rPr>
        <w:t>比选有效期</w:t>
      </w:r>
      <w:bookmarkEnd w:id="170"/>
      <w:bookmarkEnd w:id="171"/>
      <w:bookmarkEnd w:id="172"/>
      <w:bookmarkEnd w:id="173"/>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 比选申请文件在前附表第14条规定的递交比选申请文件日期之</w:t>
      </w:r>
      <w:r>
        <w:rPr>
          <w:rFonts w:hint="eastAsia" w:ascii="宋体" w:hAnsi="宋体" w:cs="宋体"/>
          <w:szCs w:val="21"/>
          <w:highlight w:val="none"/>
        </w:rPr>
        <w:t>后的90天内有</w:t>
      </w:r>
      <w:r>
        <w:rPr>
          <w:rFonts w:hint="eastAsia" w:ascii="宋体" w:hAnsi="宋体" w:cs="宋体"/>
          <w:color w:val="000000" w:themeColor="text1"/>
          <w:szCs w:val="21"/>
          <w:highlight w:val="none"/>
          <w14:textFill>
            <w14:solidFill>
              <w14:schemeClr w14:val="tx1"/>
            </w14:solidFill>
          </w14:textFill>
        </w:rPr>
        <w:t>效。</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13.比选保证金</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13.1本次比选不需要缴纳申请比选保证金。</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14.</w:t>
      </w:r>
      <w:bookmarkStart w:id="174" w:name="_Toc114052365"/>
      <w:bookmarkStart w:id="175" w:name="_Toc114052429"/>
      <w:bookmarkStart w:id="176" w:name="_Toc310318587"/>
      <w:bookmarkStart w:id="177" w:name="_Toc286386849"/>
      <w:r>
        <w:rPr>
          <w:rFonts w:hint="eastAsia" w:ascii="宋体" w:hAnsi="宋体" w:cs="宋体"/>
          <w:b/>
          <w:color w:val="000000" w:themeColor="text1"/>
          <w:szCs w:val="21"/>
          <w:highlight w:val="none"/>
          <w14:textFill>
            <w14:solidFill>
              <w14:schemeClr w14:val="tx1"/>
            </w14:solidFill>
          </w14:textFill>
        </w:rPr>
        <w:t>比选答疑</w:t>
      </w:r>
      <w:bookmarkEnd w:id="174"/>
      <w:bookmarkEnd w:id="175"/>
      <w:bookmarkEnd w:id="176"/>
      <w:bookmarkEnd w:id="177"/>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14.1比选申请人提出的与比选有关的任何问题均应在递交文件截止时间3个工作日前的正常工作时间内，用当面递交书面通知比选人，其他方式为无效。比选人将以书面形式通过“比选补遗文件”的形式予以答复。</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14.2比选补遗文件包括所有问题和答复，比选人将于递交文件截止时间2</w:t>
      </w:r>
      <w:r>
        <w:rPr>
          <w:rFonts w:hint="eastAsia" w:ascii="宋体" w:hAnsi="宋体" w:cs="宋体"/>
          <w:color w:val="000000" w:themeColor="text1"/>
          <w:szCs w:val="21"/>
          <w:highlight w:val="none"/>
          <w14:textFill>
            <w14:solidFill>
              <w14:schemeClr w14:val="tx1"/>
            </w14:solidFill>
          </w14:textFill>
        </w:rPr>
        <w:t>天</w:t>
      </w:r>
      <w:r>
        <w:rPr>
          <w:rFonts w:ascii="宋体" w:hAnsi="宋体" w:cs="宋体"/>
          <w:color w:val="000000" w:themeColor="text1"/>
          <w:szCs w:val="21"/>
          <w:highlight w:val="none"/>
          <w14:textFill>
            <w14:solidFill>
              <w14:schemeClr w14:val="tx1"/>
            </w14:solidFill>
          </w14:textFill>
        </w:rPr>
        <w:t>前以书面形式,在</w:t>
      </w:r>
      <w:r>
        <w:rPr>
          <w:rFonts w:hint="eastAsia"/>
          <w:highlight w:val="none"/>
        </w:rPr>
        <w:t>南宁轨道交通集团有限责任公司官网(http://www.nngdjt.com/)</w:t>
      </w:r>
      <w:r>
        <w:rPr>
          <w:rFonts w:hint="eastAsia" w:ascii="宋体" w:hAnsi="宋体" w:cs="宋体"/>
          <w:color w:val="000000" w:themeColor="text1"/>
          <w:szCs w:val="21"/>
          <w:highlight w:val="none"/>
          <w14:textFill>
            <w14:solidFill>
              <w14:schemeClr w14:val="tx1"/>
            </w14:solidFill>
          </w14:textFill>
        </w:rPr>
        <w:t>发布，予以答复。</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15.</w:t>
      </w:r>
      <w:bookmarkStart w:id="178" w:name="_Toc114052430"/>
      <w:bookmarkStart w:id="179" w:name="_Toc286386850"/>
      <w:bookmarkStart w:id="180" w:name="_Toc114052366"/>
      <w:bookmarkStart w:id="181" w:name="_Toc310318588"/>
      <w:r>
        <w:rPr>
          <w:rFonts w:hint="eastAsia" w:ascii="宋体" w:hAnsi="宋体" w:cs="宋体"/>
          <w:b/>
          <w:color w:val="000000" w:themeColor="text1"/>
          <w:szCs w:val="21"/>
          <w:highlight w:val="none"/>
          <w14:textFill>
            <w14:solidFill>
              <w14:schemeClr w14:val="tx1"/>
            </w14:solidFill>
          </w14:textFill>
        </w:rPr>
        <w:t>比选申请文件的份数</w:t>
      </w:r>
      <w:bookmarkEnd w:id="178"/>
      <w:bookmarkEnd w:id="179"/>
      <w:bookmarkEnd w:id="180"/>
      <w:bookmarkEnd w:id="181"/>
      <w:r>
        <w:rPr>
          <w:rFonts w:hint="eastAsia" w:ascii="宋体" w:hAnsi="宋体" w:cs="宋体"/>
          <w:b/>
          <w:color w:val="000000" w:themeColor="text1"/>
          <w:szCs w:val="21"/>
          <w:highlight w:val="none"/>
          <w14:textFill>
            <w14:solidFill>
              <w14:schemeClr w14:val="tx1"/>
            </w14:solidFill>
          </w14:textFill>
        </w:rPr>
        <w:t>和签署</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15.1比选申请人按比选文件规定，编制一份比选申请文件“正本”和四份比选申请文件“副本”，并标明“比选申请文件正本”和“比选申请文件副本”。比选申请文件正本和副本如有不一致之处，以正本为准。</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15.2比选申请文件正本应使用不能擦去的黑色墨水打印或书写，装订成册，由比选申请人法定代表人或授权委托代理人亲自签署或加盖印鉴，并加盖比选申请人单位公章，副本可使用已签字盖章的正本复印件。</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b/>
          <w:color w:val="000000" w:themeColor="text1"/>
          <w:szCs w:val="28"/>
          <w:highlight w:val="none"/>
          <w14:textFill>
            <w14:solidFill>
              <w14:schemeClr w14:val="tx1"/>
            </w14:solidFill>
          </w14:textFill>
        </w:rPr>
      </w:pPr>
      <w:bookmarkStart w:id="182" w:name="_Toc28483"/>
      <w:bookmarkStart w:id="183" w:name="_Toc11506"/>
      <w:bookmarkStart w:id="184" w:name="_Toc19276"/>
      <w:bookmarkStart w:id="185" w:name="_Toc25460"/>
      <w:bookmarkStart w:id="186" w:name="_Toc16937"/>
      <w:bookmarkStart w:id="187" w:name="_Toc11391"/>
      <w:bookmarkStart w:id="188" w:name="_Toc11019"/>
      <w:bookmarkStart w:id="189" w:name="_Toc461525301"/>
      <w:bookmarkStart w:id="190" w:name="_Toc14726"/>
      <w:bookmarkStart w:id="191" w:name="_Toc20527"/>
      <w:bookmarkStart w:id="192" w:name="_Toc23604"/>
      <w:bookmarkStart w:id="193" w:name="_Toc28307"/>
      <w:bookmarkStart w:id="194" w:name="_Toc28652"/>
      <w:bookmarkStart w:id="195" w:name="_Toc2153"/>
      <w:bookmarkStart w:id="196" w:name="_Toc15955"/>
      <w:bookmarkStart w:id="197" w:name="_Toc23101"/>
      <w:bookmarkStart w:id="198" w:name="_Toc32003"/>
      <w:bookmarkStart w:id="199" w:name="_Toc471482365"/>
      <w:bookmarkStart w:id="200" w:name="_Toc5008"/>
      <w:bookmarkStart w:id="201" w:name="_Toc31804"/>
      <w:r>
        <w:rPr>
          <w:rFonts w:hint="eastAsia"/>
          <w:b/>
          <w:color w:val="000000" w:themeColor="text1"/>
          <w:szCs w:val="28"/>
          <w:highlight w:val="none"/>
          <w14:textFill>
            <w14:solidFill>
              <w14:schemeClr w14:val="tx1"/>
            </w14:solidFill>
          </w14:textFill>
        </w:rPr>
        <w:t>五、比选申请文件的递交</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16.比选申请文件的密封与标志</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16.1比选申请文件装订要求：比选申请文件中资格审查部分、商务技术部分、报价部分分开装订。</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16.2比选申请文件密封在一个比选文件密封袋中。</w:t>
      </w:r>
    </w:p>
    <w:p>
      <w:pPr>
        <w:tabs>
          <w:tab w:val="left" w:pos="8610"/>
        </w:tabs>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16.3密封袋封口处都应加盖比选申请人公章或粘贴加盖公章的密封条，若密封袋没有加盖公章或破损严重，有可能导致比选申请文件被比选人拒收。</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17.递交比选文件截止期</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17.1比选申请人应在前附表第14项所述规定的时间，将比选申请文件递交至前附表第13项所述的单位和地址。</w:t>
      </w:r>
    </w:p>
    <w:p>
      <w:pPr>
        <w:pStyle w:val="4"/>
        <w:spacing w:before="0" w:after="0" w:line="240" w:lineRule="auto"/>
        <w:ind w:firstLine="560" w:firstLineChars="200"/>
        <w:jc w:val="center"/>
        <w:rPr>
          <w:b/>
          <w:color w:val="000000" w:themeColor="text1"/>
          <w:szCs w:val="28"/>
          <w:highlight w:val="none"/>
          <w14:textFill>
            <w14:solidFill>
              <w14:schemeClr w14:val="tx1"/>
            </w14:solidFill>
          </w14:textFill>
        </w:rPr>
      </w:pPr>
      <w:bookmarkStart w:id="202" w:name="_Toc32687"/>
      <w:bookmarkStart w:id="203" w:name="_Toc29047"/>
      <w:bookmarkStart w:id="204" w:name="_Toc20601"/>
      <w:bookmarkStart w:id="205" w:name="_Toc17217"/>
      <w:bookmarkStart w:id="206" w:name="_Toc14597"/>
      <w:bookmarkStart w:id="207" w:name="_Toc1057"/>
      <w:bookmarkStart w:id="208" w:name="_Toc24751"/>
      <w:bookmarkStart w:id="209" w:name="_Toc18164"/>
      <w:bookmarkStart w:id="210" w:name="_Toc6376"/>
      <w:bookmarkStart w:id="211" w:name="_Toc11523"/>
      <w:bookmarkStart w:id="212" w:name="_Toc31034"/>
      <w:bookmarkStart w:id="213" w:name="_Toc461525302"/>
      <w:bookmarkStart w:id="214" w:name="_Toc3405"/>
      <w:bookmarkStart w:id="215" w:name="_Toc22118"/>
      <w:bookmarkStart w:id="216" w:name="_Toc27095"/>
      <w:bookmarkStart w:id="217" w:name="_Toc471482366"/>
      <w:bookmarkStart w:id="218" w:name="_Toc30232"/>
      <w:bookmarkStart w:id="219" w:name="_Toc3227"/>
      <w:bookmarkStart w:id="220" w:name="_Toc31139"/>
      <w:bookmarkStart w:id="221" w:name="_Toc20356"/>
      <w:r>
        <w:rPr>
          <w:rFonts w:hint="eastAsia"/>
          <w:b/>
          <w:color w:val="000000" w:themeColor="text1"/>
          <w:szCs w:val="28"/>
          <w:highlight w:val="none"/>
          <w14:textFill>
            <w14:solidFill>
              <w14:schemeClr w14:val="tx1"/>
            </w14:solidFill>
          </w14:textFill>
        </w:rPr>
        <w:t>六、评</w:t>
      </w:r>
      <w:bookmarkEnd w:id="202"/>
      <w:bookmarkEnd w:id="203"/>
      <w:bookmarkEnd w:id="204"/>
      <w:r>
        <w:rPr>
          <w:rFonts w:hint="eastAsia"/>
          <w:b/>
          <w:color w:val="000000" w:themeColor="text1"/>
          <w:szCs w:val="28"/>
          <w:highlight w:val="none"/>
          <w14:textFill>
            <w14:solidFill>
              <w14:schemeClr w14:val="tx1"/>
            </w14:solidFill>
          </w14:textFill>
        </w:rPr>
        <w:t>比</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18.评比委员会</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18.1</w:t>
      </w:r>
      <w:r>
        <w:rPr>
          <w:rFonts w:hint="eastAsia" w:ascii="宋体" w:hAnsi="宋体"/>
          <w:color w:val="000000" w:themeColor="text1"/>
          <w:szCs w:val="21"/>
          <w:highlight w:val="none"/>
          <w14:textFill>
            <w14:solidFill>
              <w14:schemeClr w14:val="tx1"/>
            </w14:solidFill>
          </w14:textFill>
        </w:rPr>
        <w:t>本项目的评比委员会由5名人员组成</w:t>
      </w:r>
      <w:r>
        <w:rPr>
          <w:rFonts w:hint="eastAsia" w:ascii="宋体" w:hAnsi="宋体" w:cs="宋体"/>
          <w:color w:val="000000" w:themeColor="text1"/>
          <w:szCs w:val="21"/>
          <w:highlight w:val="none"/>
          <w14:textFill>
            <w14:solidFill>
              <w14:schemeClr w14:val="tx1"/>
            </w14:solidFill>
          </w14:textFill>
        </w:rPr>
        <w:t>。</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18.2</w:t>
      </w:r>
      <w:r>
        <w:rPr>
          <w:rFonts w:hint="eastAsia" w:ascii="宋体" w:hAnsi="宋体"/>
          <w:color w:val="000000" w:themeColor="text1"/>
          <w:szCs w:val="21"/>
          <w:highlight w:val="none"/>
          <w14:textFill>
            <w14:solidFill>
              <w14:schemeClr w14:val="tx1"/>
            </w14:solidFill>
          </w14:textFill>
        </w:rPr>
        <w:t>评比委员会成员独立、客观、公正地履行职责，遵守职业道德，对所提出的评比意见承担个人责任；评比委员会成员应对整个评比活动保密。</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18.3</w:t>
      </w:r>
      <w:r>
        <w:rPr>
          <w:rFonts w:hint="eastAsia" w:ascii="宋体" w:hAnsi="宋体"/>
          <w:color w:val="000000" w:themeColor="text1"/>
          <w:szCs w:val="21"/>
          <w:highlight w:val="none"/>
          <w14:textFill>
            <w14:solidFill>
              <w14:schemeClr w14:val="tx1"/>
            </w14:solidFill>
          </w14:textFill>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18.4</w:t>
      </w:r>
      <w:r>
        <w:rPr>
          <w:rFonts w:hint="eastAsia" w:ascii="宋体" w:hAnsi="宋体"/>
          <w:color w:val="000000" w:themeColor="text1"/>
          <w:szCs w:val="21"/>
          <w:highlight w:val="none"/>
          <w14:textFill>
            <w14:solidFill>
              <w14:schemeClr w14:val="tx1"/>
            </w14:solidFill>
          </w14:textFill>
        </w:rPr>
        <w:t>严禁任何单位或个人以任何形式操纵、干预评比过程和评比结果</w:t>
      </w:r>
      <w:r>
        <w:rPr>
          <w:rFonts w:hint="eastAsia" w:ascii="宋体" w:hAnsi="宋体" w:cs="宋体"/>
          <w:color w:val="000000" w:themeColor="text1"/>
          <w:szCs w:val="21"/>
          <w:highlight w:val="none"/>
          <w14:textFill>
            <w14:solidFill>
              <w14:schemeClr w14:val="tx1"/>
            </w14:solidFill>
          </w14:textFill>
        </w:rPr>
        <w:t>。</w:t>
      </w:r>
    </w:p>
    <w:p>
      <w:pPr>
        <w:ind w:firstLine="420" w:firstLineChars="200"/>
        <w:jc w:val="left"/>
        <w:rPr>
          <w:rFonts w:ascii="宋体" w:hAnsi="宋体" w:cs="宋体"/>
          <w:b/>
          <w:color w:val="000000" w:themeColor="text1"/>
          <w:szCs w:val="21"/>
          <w:highlight w:val="none"/>
          <w14:textFill>
            <w14:solidFill>
              <w14:schemeClr w14:val="tx1"/>
            </w14:solidFill>
          </w14:textFill>
        </w:rPr>
      </w:pPr>
      <w:bookmarkStart w:id="222" w:name="_Toc310318596"/>
      <w:r>
        <w:rPr>
          <w:rFonts w:ascii="宋体" w:hAnsi="宋体" w:cs="宋体"/>
          <w:b/>
          <w:color w:val="000000" w:themeColor="text1"/>
          <w:szCs w:val="21"/>
          <w:highlight w:val="none"/>
          <w14:textFill>
            <w14:solidFill>
              <w14:schemeClr w14:val="tx1"/>
            </w14:solidFill>
          </w14:textFill>
        </w:rPr>
        <w:t>19.评比</w:t>
      </w:r>
      <w:bookmarkEnd w:id="222"/>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19.1</w:t>
      </w:r>
      <w:r>
        <w:rPr>
          <w:rFonts w:hint="eastAsia" w:ascii="宋体" w:hAnsi="宋体"/>
          <w:color w:val="000000" w:themeColor="text1"/>
          <w:szCs w:val="21"/>
          <w:highlight w:val="none"/>
          <w14:textFill>
            <w14:solidFill>
              <w14:schemeClr w14:val="tx1"/>
            </w14:solidFill>
          </w14:textFill>
        </w:rPr>
        <w:t>比选人将于前附表第13、14</w:t>
      </w:r>
      <w:r>
        <w:rPr>
          <w:rFonts w:ascii="宋体" w:hAnsi="宋体"/>
          <w:color w:val="000000" w:themeColor="text1"/>
          <w:szCs w:val="21"/>
          <w:highlight w:val="none"/>
          <w14:textFill>
            <w14:solidFill>
              <w14:schemeClr w14:val="tx1"/>
            </w14:solidFill>
          </w14:textFill>
        </w:rPr>
        <w:t>项规定的时间</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地点</w:t>
      </w:r>
      <w:r>
        <w:rPr>
          <w:rFonts w:hint="eastAsia" w:ascii="宋体" w:hAnsi="宋体"/>
          <w:color w:val="000000" w:themeColor="text1"/>
          <w:szCs w:val="21"/>
          <w:highlight w:val="none"/>
          <w14:textFill>
            <w14:solidFill>
              <w14:schemeClr w14:val="tx1"/>
            </w14:solidFill>
          </w14:textFill>
        </w:rPr>
        <w:t>递交比选材料，</w:t>
      </w:r>
      <w:r>
        <w:rPr>
          <w:rFonts w:ascii="宋体" w:hAnsi="宋体"/>
          <w:color w:val="000000" w:themeColor="text1"/>
          <w:szCs w:val="21"/>
          <w:highlight w:val="none"/>
          <w14:textFill>
            <w14:solidFill>
              <w14:schemeClr w14:val="tx1"/>
            </w14:solidFill>
          </w14:textFill>
        </w:rPr>
        <w:t>参加评比的比选申请人</w:t>
      </w:r>
      <w:r>
        <w:rPr>
          <w:rFonts w:hint="eastAsia" w:ascii="宋体" w:hAnsi="宋体"/>
          <w:color w:val="000000" w:themeColor="text1"/>
          <w:szCs w:val="21"/>
          <w:highlight w:val="none"/>
          <w14:textFill>
            <w14:solidFill>
              <w14:schemeClr w14:val="tx1"/>
            </w14:solidFill>
          </w14:textFill>
        </w:rPr>
        <w:t>法定代表人</w:t>
      </w:r>
      <w:r>
        <w:rPr>
          <w:rFonts w:ascii="宋体" w:hAnsi="宋体"/>
          <w:color w:val="000000" w:themeColor="text1"/>
          <w:szCs w:val="21"/>
          <w:highlight w:val="none"/>
          <w14:textFill>
            <w14:solidFill>
              <w14:schemeClr w14:val="tx1"/>
            </w14:solidFill>
          </w14:textFill>
        </w:rPr>
        <w:t>或授权委托代理人应签名报到，并携带有效证明材料前往，以证实其身份。如比选申请人</w:t>
      </w:r>
      <w:r>
        <w:rPr>
          <w:rFonts w:hint="eastAsia" w:ascii="宋体" w:hAnsi="宋体"/>
          <w:color w:val="000000" w:themeColor="text1"/>
          <w:szCs w:val="21"/>
          <w:highlight w:val="none"/>
          <w14:textFill>
            <w14:solidFill>
              <w14:schemeClr w14:val="tx1"/>
            </w14:solidFill>
          </w14:textFill>
        </w:rPr>
        <w:t>法定代表人</w:t>
      </w:r>
      <w:r>
        <w:rPr>
          <w:rFonts w:ascii="宋体" w:hAnsi="宋体"/>
          <w:color w:val="000000" w:themeColor="text1"/>
          <w:szCs w:val="21"/>
          <w:highlight w:val="none"/>
          <w14:textFill>
            <w14:solidFill>
              <w14:schemeClr w14:val="tx1"/>
            </w14:solidFill>
          </w14:textFill>
        </w:rPr>
        <w:t>或授权代理人未能在前附表第</w:t>
      </w:r>
      <w:r>
        <w:rPr>
          <w:rFonts w:hint="eastAsia" w:ascii="宋体" w:hAnsi="宋体"/>
          <w:color w:val="000000" w:themeColor="text1"/>
          <w:szCs w:val="21"/>
          <w:highlight w:val="none"/>
          <w14:textFill>
            <w14:solidFill>
              <w14:schemeClr w14:val="tx1"/>
            </w14:solidFill>
          </w14:textFill>
        </w:rPr>
        <w:t>13、14</w:t>
      </w:r>
      <w:r>
        <w:rPr>
          <w:rFonts w:ascii="宋体" w:hAnsi="宋体"/>
          <w:color w:val="000000" w:themeColor="text1"/>
          <w:szCs w:val="21"/>
          <w:highlight w:val="none"/>
          <w14:textFill>
            <w14:solidFill>
              <w14:schemeClr w14:val="tx1"/>
            </w14:solidFill>
          </w14:textFill>
        </w:rPr>
        <w:t>项所述的时间</w:t>
      </w:r>
      <w:r>
        <w:rPr>
          <w:rFonts w:hint="eastAsia" w:ascii="宋体" w:hAnsi="宋体"/>
          <w:color w:val="000000" w:themeColor="text1"/>
          <w:szCs w:val="21"/>
          <w:highlight w:val="none"/>
          <w14:textFill>
            <w14:solidFill>
              <w14:schemeClr w14:val="tx1"/>
            </w14:solidFill>
          </w14:textFill>
        </w:rPr>
        <w:t>、地点递交材料</w:t>
      </w:r>
      <w:r>
        <w:rPr>
          <w:rFonts w:ascii="宋体" w:hAnsi="宋体"/>
          <w:color w:val="000000" w:themeColor="text1"/>
          <w:szCs w:val="21"/>
          <w:highlight w:val="none"/>
          <w14:textFill>
            <w14:solidFill>
              <w14:schemeClr w14:val="tx1"/>
            </w14:solidFill>
          </w14:textFill>
        </w:rPr>
        <w:t>并证明其身份，将视同其放弃本次评比机会。</w:t>
      </w:r>
    </w:p>
    <w:p>
      <w:pPr>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19.2评比会议程序：</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19.2.1由主持人宣布评比会议开始，评比委员会确认文件是否密封。</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19.2.2评比委员会审查比选申请文件的资格审查部分，并进行评审。</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19.2.3由主持人当众宣布审查结果，并宣读有效的比选申请人名称以及比选人认为需要的其他内容。</w:t>
      </w:r>
    </w:p>
    <w:p>
      <w:pPr>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19.2.4</w:t>
      </w:r>
      <w:r>
        <w:rPr>
          <w:rFonts w:hint="eastAsia" w:ascii="宋体" w:hAnsi="宋体"/>
          <w:color w:val="000000" w:themeColor="text1"/>
          <w:szCs w:val="21"/>
          <w:highlight w:val="none"/>
          <w14:textFill>
            <w14:solidFill>
              <w14:schemeClr w14:val="tx1"/>
            </w14:solidFill>
          </w14:textFill>
        </w:rPr>
        <w:t>评比委员会审查已通过资格审查的比选申请文件的商务技术部分和报价部分，并进行评审。</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19.2.5在评比过程中，评比委员、记录人等有关人员在比选记录表上签字确认，主持人宣读比选结果。</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19.2.6评比结束</w:t>
      </w:r>
    </w:p>
    <w:p>
      <w:pPr>
        <w:ind w:firstLine="420" w:firstLineChars="200"/>
        <w:jc w:val="left"/>
        <w:rPr>
          <w:rFonts w:ascii="宋体" w:hAnsi="宋体" w:cs="宋体"/>
          <w:b/>
          <w:color w:val="000000" w:themeColor="text1"/>
          <w:szCs w:val="21"/>
          <w:highlight w:val="none"/>
          <w14:textFill>
            <w14:solidFill>
              <w14:schemeClr w14:val="tx1"/>
            </w14:solidFill>
          </w14:textFill>
        </w:rPr>
      </w:pPr>
      <w:bookmarkStart w:id="223" w:name="_Toc310318597"/>
      <w:bookmarkStart w:id="224" w:name="_Toc286386859"/>
      <w:bookmarkStart w:id="225" w:name="_Toc114052439"/>
      <w:bookmarkStart w:id="226" w:name="_Toc114052375"/>
      <w:r>
        <w:rPr>
          <w:rFonts w:ascii="宋体" w:hAnsi="宋体" w:cs="宋体"/>
          <w:b/>
          <w:color w:val="000000" w:themeColor="text1"/>
          <w:szCs w:val="21"/>
          <w:highlight w:val="none"/>
          <w14:textFill>
            <w14:solidFill>
              <w14:schemeClr w14:val="tx1"/>
            </w14:solidFill>
          </w14:textFill>
        </w:rPr>
        <w:t>20.评比</w:t>
      </w:r>
      <w:bookmarkEnd w:id="223"/>
      <w:bookmarkEnd w:id="224"/>
      <w:bookmarkEnd w:id="225"/>
      <w:bookmarkEnd w:id="226"/>
      <w:r>
        <w:rPr>
          <w:rFonts w:hint="eastAsia" w:ascii="宋体" w:hAnsi="宋体" w:cs="宋体"/>
          <w:b/>
          <w:color w:val="000000" w:themeColor="text1"/>
          <w:szCs w:val="21"/>
          <w:highlight w:val="none"/>
          <w14:textFill>
            <w14:solidFill>
              <w14:schemeClr w14:val="tx1"/>
            </w14:solidFill>
          </w14:textFill>
        </w:rPr>
        <w:t>工作相关要求</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20.1本次比选的工作由评比委员会负责。</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20.2出现下列特殊情况之一，本次比选无效，本公司将重新组织比选：</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20.2.1在比选申请文件递交截止时间到达时提交比选申请文件的比选申请人少于3家的；</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20.2.2比选申请文件有效的比选申请人仅有2家，且评委认为没有竞争力的；</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20.2.3有效比选申请文件只有1家或0家的。</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20.3评比过程的保密性。评比委员会成员、有关工作人员及其他知情人不得透露对比选申请文件的评比和比较、中选候选人的推荐情况以及与比选有关的其他情况。</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20.4比选申请人在评比过程中所进行的力图影响评比公正性的活动，可能导致其中选无效。</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20.5比选申请文件的澄清或说明</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20.5.1评比时评比委员会将以书面形式要求比选申请人就其比选申请文件中含义不明确、同类问题表述不一致或有明显文字错误等的内容予以澄清或说明。</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20.5.2比选申请人对要求澄清或说明的内容应在评比委员会规定的时间内以书面形式予以澄清，该澄清或说明函应有比选申请人法定代表人或其委托代理人的签名。</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20.5.3比选申请人的澄清或说明函作为比选申请文件的组成部分。</w:t>
      </w:r>
    </w:p>
    <w:p>
      <w:pPr>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20.5.4比选申请人对比选申请文件的澄清或说明不得超出比选申请文件的范围或改变投标的实质内容。</w:t>
      </w:r>
    </w:p>
    <w:p>
      <w:pPr>
        <w:ind w:firstLine="420" w:firstLineChars="200"/>
        <w:jc w:val="left"/>
        <w:rPr>
          <w:rFonts w:ascii="宋体" w:hAnsi="宋体" w:cs="宋体"/>
          <w:b/>
          <w:color w:val="000000" w:themeColor="text1"/>
          <w:szCs w:val="21"/>
          <w:highlight w:val="none"/>
          <w14:textFill>
            <w14:solidFill>
              <w14:schemeClr w14:val="tx1"/>
            </w14:solidFill>
          </w14:textFill>
        </w:rPr>
      </w:pPr>
      <w:bookmarkStart w:id="227" w:name="_Toc310318598"/>
      <w:r>
        <w:rPr>
          <w:rFonts w:ascii="宋体" w:hAnsi="宋体" w:cs="宋体"/>
          <w:b/>
          <w:color w:val="000000" w:themeColor="text1"/>
          <w:szCs w:val="21"/>
          <w:highlight w:val="none"/>
          <w14:textFill>
            <w14:solidFill>
              <w14:schemeClr w14:val="tx1"/>
            </w14:solidFill>
          </w14:textFill>
        </w:rPr>
        <w:t>21.比选申请文件评比</w:t>
      </w:r>
      <w:bookmarkEnd w:id="227"/>
      <w:r>
        <w:rPr>
          <w:rFonts w:hint="eastAsia" w:ascii="宋体" w:hAnsi="宋体" w:cs="宋体"/>
          <w:b/>
          <w:color w:val="000000" w:themeColor="text1"/>
          <w:szCs w:val="21"/>
          <w:highlight w:val="none"/>
          <w14:textFill>
            <w14:solidFill>
              <w14:schemeClr w14:val="tx1"/>
            </w14:solidFill>
          </w14:textFill>
        </w:rPr>
        <w:t>相关要求</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21.1比选申请人资格审查</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只有通过资格审查才能进入下一步的评比，资格审查资料有任何一项不合格者其资格审查视为不通过。</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21.2比选申请人或其比选文件有下列情况之一者，其比选申请文件将视为无效或作废处理：</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（1）比选申请人的</w:t>
      </w:r>
      <w:r>
        <w:rPr>
          <w:rFonts w:hint="eastAsia" w:ascii="宋体" w:hAnsi="宋体" w:cs="宋体"/>
          <w:b/>
          <w:color w:val="000000" w:themeColor="text1"/>
          <w:szCs w:val="21"/>
          <w:highlight w:val="none"/>
          <w14:textFill>
            <w14:solidFill>
              <w14:schemeClr w14:val="tx1"/>
            </w14:solidFill>
          </w14:textFill>
        </w:rPr>
        <w:t>法定代表人</w:t>
      </w:r>
      <w:r>
        <w:rPr>
          <w:rFonts w:ascii="宋体" w:hAnsi="宋体" w:cs="宋体"/>
          <w:b/>
          <w:color w:val="000000" w:themeColor="text1"/>
          <w:szCs w:val="21"/>
          <w:highlight w:val="none"/>
          <w14:textFill>
            <w14:solidFill>
              <w14:schemeClr w14:val="tx1"/>
            </w14:solidFill>
          </w14:textFill>
        </w:rPr>
        <w:t>或委托代理人未按时参加评比会议的；</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（2）比选申请文件未按照规定的要求装订、密封和标记的；</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（3）本须知第11条规定的比选申请文件有关内容未按本须知第15条规定加盖比选申请人公章、未经比选申请人</w:t>
      </w:r>
      <w:r>
        <w:rPr>
          <w:rFonts w:hint="eastAsia" w:ascii="宋体" w:hAnsi="宋体" w:cs="宋体"/>
          <w:b/>
          <w:color w:val="000000" w:themeColor="text1"/>
          <w:szCs w:val="21"/>
          <w:highlight w:val="none"/>
          <w14:textFill>
            <w14:solidFill>
              <w14:schemeClr w14:val="tx1"/>
            </w14:solidFill>
          </w14:textFill>
        </w:rPr>
        <w:t>法定代表人</w:t>
      </w:r>
      <w:r>
        <w:rPr>
          <w:rFonts w:ascii="宋体" w:hAnsi="宋体" w:cs="宋体"/>
          <w:b/>
          <w:color w:val="000000" w:themeColor="text1"/>
          <w:szCs w:val="21"/>
          <w:highlight w:val="none"/>
          <w14:textFill>
            <w14:solidFill>
              <w14:schemeClr w14:val="tx1"/>
            </w14:solidFill>
          </w14:textFill>
        </w:rPr>
        <w:t>或其委托代理人签字或盖章的；</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（4）不按本须知第11条内容提供资料的；逾期递交比选申请文件的；</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（5）比选申请文件内容不真实的；</w:t>
      </w:r>
    </w:p>
    <w:p>
      <w:pPr>
        <w:ind w:firstLine="420" w:firstLineChars="200"/>
        <w:jc w:val="left"/>
        <w:rPr>
          <w:rFonts w:ascii="宋体" w:hAnsi="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w:t>
      </w:r>
      <w:r>
        <w:rPr>
          <w:rFonts w:ascii="宋体" w:hAnsi="宋体" w:cs="宋体"/>
          <w:b/>
          <w:color w:val="000000" w:themeColor="text1"/>
          <w:szCs w:val="21"/>
          <w:highlight w:val="none"/>
          <w14:textFill>
            <w14:solidFill>
              <w14:schemeClr w14:val="tx1"/>
            </w14:solidFill>
          </w14:textFill>
        </w:rPr>
        <w:t>6）比选申请文件实质上没有响应比选文件的要求的；</w:t>
      </w:r>
      <w:r>
        <w:rPr>
          <w:rFonts w:hint="eastAsia" w:ascii="宋体" w:hAnsi="宋体"/>
          <w:b/>
          <w:color w:val="000000" w:themeColor="text1"/>
          <w:szCs w:val="21"/>
          <w:highlight w:val="none"/>
          <w14:textFill>
            <w14:solidFill>
              <w14:schemeClr w14:val="tx1"/>
            </w14:solidFill>
          </w14:textFill>
        </w:rPr>
        <w:t>（包括以下内容：比选项目所涉及的人员配置、业绩、价格、服务内容、合同条款等）</w:t>
      </w:r>
    </w:p>
    <w:p>
      <w:pPr>
        <w:ind w:firstLine="420" w:firstLineChars="200"/>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w:t>
      </w:r>
      <w:r>
        <w:rPr>
          <w:rFonts w:ascii="宋体" w:hAnsi="宋体"/>
          <w:b/>
          <w:color w:val="000000" w:themeColor="text1"/>
          <w:szCs w:val="21"/>
          <w:highlight w:val="none"/>
          <w14:textFill>
            <w14:solidFill>
              <w14:schemeClr w14:val="tx1"/>
            </w14:solidFill>
          </w14:textFill>
        </w:rPr>
        <w:t>7）比选申请人报价超过上控价</w:t>
      </w:r>
      <w:r>
        <w:rPr>
          <w:rFonts w:hint="eastAsia" w:ascii="宋体" w:hAnsi="宋体"/>
          <w:b/>
          <w:color w:val="000000" w:themeColor="text1"/>
          <w:szCs w:val="21"/>
          <w:highlight w:val="none"/>
          <w14:textFill>
            <w14:solidFill>
              <w14:schemeClr w14:val="tx1"/>
            </w14:solidFill>
          </w14:textFill>
        </w:rPr>
        <w:t>的，</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w:t>
      </w:r>
      <w:r>
        <w:rPr>
          <w:rFonts w:ascii="宋体" w:hAnsi="宋体" w:cs="宋体"/>
          <w:b/>
          <w:color w:val="000000" w:themeColor="text1"/>
          <w:szCs w:val="21"/>
          <w:highlight w:val="none"/>
          <w14:textFill>
            <w14:solidFill>
              <w14:schemeClr w14:val="tx1"/>
            </w14:solidFill>
          </w14:textFill>
        </w:rPr>
        <w:t>8</w:t>
      </w:r>
      <w:r>
        <w:rPr>
          <w:rFonts w:hint="eastAsia" w:ascii="宋体" w:hAnsi="宋体" w:cs="宋体"/>
          <w:b/>
          <w:color w:val="000000" w:themeColor="text1"/>
          <w:szCs w:val="21"/>
          <w:highlight w:val="none"/>
          <w14:textFill>
            <w14:solidFill>
              <w14:schemeClr w14:val="tx1"/>
            </w14:solidFill>
          </w14:textFill>
        </w:rPr>
        <w:t>）比选申请人不符合前附表第</w:t>
      </w:r>
      <w:r>
        <w:rPr>
          <w:rFonts w:ascii="宋体" w:hAnsi="宋体" w:cs="宋体"/>
          <w:b/>
          <w:color w:val="000000" w:themeColor="text1"/>
          <w:szCs w:val="21"/>
          <w:highlight w:val="none"/>
          <w14:textFill>
            <w14:solidFill>
              <w14:schemeClr w14:val="tx1"/>
            </w14:solidFill>
          </w14:textFill>
        </w:rPr>
        <w:t>9条所述资格要求</w:t>
      </w:r>
      <w:r>
        <w:rPr>
          <w:rFonts w:hint="eastAsia" w:ascii="宋体" w:hAnsi="宋体" w:cs="宋体"/>
          <w:b/>
          <w:color w:val="000000" w:themeColor="text1"/>
          <w:szCs w:val="21"/>
          <w:highlight w:val="none"/>
          <w14:textFill>
            <w14:solidFill>
              <w14:schemeClr w14:val="tx1"/>
            </w14:solidFill>
          </w14:textFill>
        </w:rPr>
        <w:t>。</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21.3评比细则</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详见第四章。</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21.4确定中选人</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比委员会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比委员会提出的中选候选人名单排序依次确定其他中选候选人为中选人，也可以重新比选。</w:t>
      </w:r>
    </w:p>
    <w:p>
      <w:pPr>
        <w:ind w:firstLine="420" w:firstLineChars="200"/>
        <w:jc w:val="left"/>
        <w:rPr>
          <w:rFonts w:ascii="宋体" w:hAnsi="宋体" w:cs="宋体"/>
          <w:b/>
          <w:color w:val="000000" w:themeColor="text1"/>
          <w:szCs w:val="21"/>
          <w:highlight w:val="none"/>
          <w14:textFill>
            <w14:solidFill>
              <w14:schemeClr w14:val="tx1"/>
            </w14:solidFill>
          </w14:textFill>
        </w:rPr>
      </w:pPr>
      <w:bookmarkStart w:id="228" w:name="_Toc286386861"/>
      <w:bookmarkStart w:id="229" w:name="_Toc114052441"/>
      <w:bookmarkStart w:id="230" w:name="_Toc114052377"/>
      <w:bookmarkStart w:id="231" w:name="_Toc310318599"/>
      <w:r>
        <w:rPr>
          <w:rFonts w:ascii="宋体" w:hAnsi="宋体" w:cs="宋体"/>
          <w:b/>
          <w:color w:val="000000" w:themeColor="text1"/>
          <w:szCs w:val="21"/>
          <w:highlight w:val="none"/>
          <w14:textFill>
            <w14:solidFill>
              <w14:schemeClr w14:val="tx1"/>
            </w14:solidFill>
          </w14:textFill>
        </w:rPr>
        <w:t>22.评比结果公示</w:t>
      </w:r>
      <w:bookmarkEnd w:id="228"/>
      <w:bookmarkEnd w:id="229"/>
      <w:bookmarkEnd w:id="230"/>
      <w:bookmarkEnd w:id="231"/>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22.1在评比结束后，比选人将在南宁轨道交通集团有限责任公司官网(http://www.nngdjt.com/)的招标招商中的中标信息处公示评比结果。</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b/>
          <w:color w:val="000000" w:themeColor="text1"/>
          <w:szCs w:val="28"/>
          <w:highlight w:val="none"/>
          <w14:textFill>
            <w14:solidFill>
              <w14:schemeClr w14:val="tx1"/>
            </w14:solidFill>
          </w14:textFill>
        </w:rPr>
      </w:pPr>
      <w:bookmarkStart w:id="232" w:name="_Toc18410"/>
      <w:bookmarkStart w:id="233" w:name="_Toc529"/>
      <w:bookmarkStart w:id="234" w:name="_Toc8363"/>
      <w:bookmarkStart w:id="235" w:name="_Toc17864"/>
      <w:bookmarkStart w:id="236" w:name="_Toc20403"/>
      <w:bookmarkStart w:id="237" w:name="_Toc6141"/>
      <w:bookmarkStart w:id="238" w:name="_Toc17996"/>
      <w:bookmarkStart w:id="239" w:name="_Toc14884"/>
      <w:bookmarkStart w:id="240" w:name="_Toc19549"/>
      <w:bookmarkStart w:id="241" w:name="_Toc461525303"/>
      <w:bookmarkStart w:id="242" w:name="_Toc16935"/>
      <w:bookmarkStart w:id="243" w:name="_Toc471482367"/>
      <w:bookmarkStart w:id="244" w:name="_Toc1916"/>
      <w:bookmarkStart w:id="245" w:name="_Toc30023"/>
      <w:bookmarkStart w:id="246" w:name="_Toc21310"/>
      <w:bookmarkStart w:id="247" w:name="_Toc24316"/>
      <w:bookmarkStart w:id="248" w:name="_Toc12010"/>
      <w:bookmarkStart w:id="249" w:name="_Toc24212"/>
      <w:bookmarkStart w:id="250" w:name="_Toc28231"/>
      <w:bookmarkStart w:id="251" w:name="_Toc16746"/>
      <w:r>
        <w:rPr>
          <w:rFonts w:hint="eastAsia"/>
          <w:b/>
          <w:color w:val="000000" w:themeColor="text1"/>
          <w:szCs w:val="28"/>
          <w:highlight w:val="none"/>
          <w14:textFill>
            <w14:solidFill>
              <w14:schemeClr w14:val="tx1"/>
            </w14:solidFill>
          </w14:textFill>
        </w:rPr>
        <w:t>七、授予合同</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23.中选通知书</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23.1比选人将向中选人发出中选通知书。</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23.2比选人无义务向落选的比选申请人解释落选原因和退还比选申请文件。</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23.3中选通知书作为合同的组成部分。</w:t>
      </w:r>
    </w:p>
    <w:p>
      <w:pPr>
        <w:ind w:firstLine="420" w:firstLineChars="200"/>
        <w:jc w:val="lef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24.合同的签署</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24.1中选人应按中选通知书中的相关要求，由中选人</w:t>
      </w:r>
      <w:r>
        <w:rPr>
          <w:rFonts w:hint="eastAsia" w:ascii="宋体" w:hAnsi="宋体"/>
          <w:color w:val="000000" w:themeColor="text1"/>
          <w:szCs w:val="21"/>
          <w:highlight w:val="none"/>
          <w14:textFill>
            <w14:solidFill>
              <w14:schemeClr w14:val="tx1"/>
            </w14:solidFill>
          </w14:textFill>
        </w:rPr>
        <w:t>法定代表人</w:t>
      </w:r>
      <w:r>
        <w:rPr>
          <w:rFonts w:hint="eastAsia" w:ascii="宋体" w:hAnsi="宋体" w:cs="宋体"/>
          <w:color w:val="000000" w:themeColor="text1"/>
          <w:szCs w:val="21"/>
          <w:highlight w:val="none"/>
          <w14:textFill>
            <w14:solidFill>
              <w14:schemeClr w14:val="tx1"/>
            </w14:solidFill>
          </w14:textFill>
        </w:rPr>
        <w:t>或授权代表前往比选人处与比选人进行签订合同。</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24.2中选人如放弃中选资格，则比选人有权将其列入不良行为记录名单、三年内禁止其参加比选人发起的任何采购活动。</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24.3中选人被废除中选资格后，比选人有权将标按比选结果排名顺延中选人。</w:t>
      </w:r>
    </w:p>
    <w:p>
      <w:pPr>
        <w:pStyle w:val="2"/>
        <w:spacing w:line="320" w:lineRule="exact"/>
        <w:rPr>
          <w:color w:val="000000" w:themeColor="text1"/>
          <w:sz w:val="32"/>
          <w:szCs w:val="32"/>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br w:type="page"/>
      </w:r>
      <w:bookmarkStart w:id="252" w:name="_Toc7728"/>
      <w:bookmarkStart w:id="253" w:name="_Toc4769"/>
      <w:bookmarkStart w:id="254" w:name="_Toc12099"/>
      <w:bookmarkStart w:id="255" w:name="_Toc1354"/>
      <w:bookmarkStart w:id="256" w:name="_Toc471482368"/>
      <w:bookmarkStart w:id="257" w:name="_Toc28264"/>
      <w:bookmarkStart w:id="258" w:name="_Toc16062"/>
      <w:bookmarkStart w:id="259" w:name="_Toc12854"/>
      <w:bookmarkStart w:id="260" w:name="_Toc21670"/>
      <w:bookmarkStart w:id="261" w:name="_Toc21358"/>
      <w:bookmarkStart w:id="262" w:name="_Toc5964"/>
      <w:bookmarkStart w:id="263" w:name="_Toc19911"/>
      <w:bookmarkStart w:id="264" w:name="_Toc31106"/>
      <w:bookmarkStart w:id="265" w:name="_Toc31070"/>
      <w:bookmarkStart w:id="266" w:name="_Toc461525304"/>
      <w:bookmarkStart w:id="267" w:name="_Toc9820"/>
      <w:bookmarkStart w:id="268" w:name="_Toc2960"/>
      <w:bookmarkStart w:id="269" w:name="_Toc333307121"/>
      <w:bookmarkStart w:id="270" w:name="_Toc7234"/>
      <w:r>
        <w:rPr>
          <w:rFonts w:hint="eastAsia" w:ascii="宋体" w:hAnsi="宋体" w:cs="宋体"/>
          <w:color w:val="000000" w:themeColor="text1"/>
          <w:szCs w:val="28"/>
          <w:highlight w:val="none"/>
          <w14:textFill>
            <w14:solidFill>
              <w14:schemeClr w14:val="tx1"/>
            </w14:solidFill>
          </w14:textFill>
        </w:rPr>
        <w:t>第二章</w:t>
      </w:r>
      <w:r>
        <w:rPr>
          <w:rFonts w:ascii="宋体" w:hAnsi="宋体" w:cs="宋体"/>
          <w:color w:val="000000" w:themeColor="text1"/>
          <w:szCs w:val="28"/>
          <w:highlight w:val="none"/>
          <w14:textFill>
            <w14:solidFill>
              <w14:schemeClr w14:val="tx1"/>
            </w14:solidFill>
          </w14:textFill>
        </w:rPr>
        <w:t xml:space="preserve"> </w:t>
      </w:r>
      <w:r>
        <w:rPr>
          <w:rFonts w:hint="eastAsia" w:ascii="宋体" w:hAnsi="宋体" w:cs="宋体"/>
          <w:color w:val="000000" w:themeColor="text1"/>
          <w:szCs w:val="28"/>
          <w:highlight w:val="none"/>
          <w14:textFill>
            <w14:solidFill>
              <w14:schemeClr w14:val="tx1"/>
            </w14:solidFill>
          </w14:textFill>
        </w:rPr>
        <w:t>合同条款</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ind w:firstLine="1044"/>
        <w:jc w:val="center"/>
        <w:rPr>
          <w:rStyle w:val="54"/>
          <w:rFonts w:ascii="宋体" w:hAnsi="宋体" w:cs="楷体"/>
          <w:b/>
          <w:bCs/>
          <w:color w:val="000000" w:themeColor="text1"/>
          <w:sz w:val="52"/>
          <w:szCs w:val="52"/>
          <w:highlight w:val="none"/>
          <w14:textFill>
            <w14:solidFill>
              <w14:schemeClr w14:val="tx1"/>
            </w14:solidFill>
          </w14:textFill>
        </w:rPr>
      </w:pPr>
    </w:p>
    <w:p>
      <w:pPr>
        <w:jc w:val="center"/>
        <w:rPr>
          <w:rStyle w:val="54"/>
          <w:rFonts w:ascii="宋体" w:hAnsi="宋体" w:cs="楷体"/>
          <w:b/>
          <w:bCs/>
          <w:color w:val="000000" w:themeColor="text1"/>
          <w:sz w:val="52"/>
          <w:szCs w:val="52"/>
          <w:highlight w:val="none"/>
          <w14:textFill>
            <w14:solidFill>
              <w14:schemeClr w14:val="tx1"/>
            </w14:solidFill>
          </w14:textFill>
        </w:rPr>
      </w:pPr>
      <w:r>
        <w:rPr>
          <w:rStyle w:val="54"/>
          <w:rFonts w:hint="eastAsia" w:ascii="宋体" w:hAnsi="宋体" w:cs="楷体"/>
          <w:b/>
          <w:bCs/>
          <w:color w:val="000000" w:themeColor="text1"/>
          <w:sz w:val="52"/>
          <w:szCs w:val="52"/>
          <w:highlight w:val="none"/>
          <w14:textFill>
            <w14:solidFill>
              <w14:schemeClr w14:val="tx1"/>
            </w14:solidFill>
          </w14:textFill>
        </w:rPr>
        <w:t>南宁市金盾道路清障有限责任公司</w:t>
      </w:r>
    </w:p>
    <w:p>
      <w:pPr>
        <w:jc w:val="center"/>
        <w:rPr>
          <w:rStyle w:val="54"/>
          <w:rFonts w:ascii="宋体" w:hAnsi="宋体" w:cs="楷体"/>
          <w:b/>
          <w:bCs/>
          <w:color w:val="000000" w:themeColor="text1"/>
          <w:sz w:val="52"/>
          <w:szCs w:val="52"/>
          <w:highlight w:val="none"/>
          <w14:textFill>
            <w14:solidFill>
              <w14:schemeClr w14:val="tx1"/>
            </w14:solidFill>
          </w14:textFill>
        </w:rPr>
      </w:pPr>
      <w:r>
        <w:rPr>
          <w:rStyle w:val="54"/>
          <w:rFonts w:ascii="宋体" w:hAnsi="宋体" w:cs="楷体"/>
          <w:b/>
          <w:bCs/>
          <w:color w:val="000000" w:themeColor="text1"/>
          <w:sz w:val="52"/>
          <w:szCs w:val="52"/>
          <w:highlight w:val="none"/>
          <w14:textFill>
            <w14:solidFill>
              <w14:schemeClr w14:val="tx1"/>
            </w14:solidFill>
          </w14:textFill>
        </w:rPr>
        <w:t>与</w:t>
      </w:r>
      <w:r>
        <w:rPr>
          <w:rStyle w:val="54"/>
          <w:rFonts w:ascii="宋体" w:hAnsi="宋体" w:cs="楷体"/>
          <w:b/>
          <w:bCs/>
          <w:color w:val="000000" w:themeColor="text1"/>
          <w:sz w:val="52"/>
          <w:szCs w:val="52"/>
          <w:highlight w:val="none"/>
          <w:u w:val="single"/>
          <w14:textFill>
            <w14:solidFill>
              <w14:schemeClr w14:val="tx1"/>
            </w14:solidFill>
          </w14:textFill>
        </w:rPr>
        <w:t xml:space="preserve">               </w:t>
      </w:r>
      <w:r>
        <w:rPr>
          <w:rStyle w:val="54"/>
          <w:rFonts w:hint="eastAsia" w:ascii="宋体" w:hAnsi="宋体" w:cs="楷体"/>
          <w:b/>
          <w:bCs/>
          <w:color w:val="000000" w:themeColor="text1"/>
          <w:sz w:val="52"/>
          <w:szCs w:val="52"/>
          <w:highlight w:val="none"/>
          <w14:textFill>
            <w14:solidFill>
              <w14:schemeClr w14:val="tx1"/>
            </w14:solidFill>
          </w14:textFill>
        </w:rPr>
        <w:t>公司</w:t>
      </w:r>
    </w:p>
    <w:p>
      <w:pPr>
        <w:spacing w:line="320" w:lineRule="exact"/>
        <w:ind w:firstLine="2249"/>
        <w:jc w:val="center"/>
        <w:rPr>
          <w:rStyle w:val="54"/>
          <w:rFonts w:ascii="宋体" w:hAnsi="宋体" w:cs="楷体"/>
          <w:b/>
          <w:bCs/>
          <w:color w:val="000000" w:themeColor="text1"/>
          <w:sz w:val="112"/>
          <w:szCs w:val="112"/>
          <w:highlight w:val="none"/>
          <w14:textFill>
            <w14:solidFill>
              <w14:schemeClr w14:val="tx1"/>
            </w14:solidFill>
          </w14:textFill>
        </w:rPr>
      </w:pPr>
    </w:p>
    <w:p>
      <w:pPr>
        <w:spacing w:after="0" w:line="240" w:lineRule="auto"/>
        <w:ind w:firstLine="0"/>
        <w:jc w:val="center"/>
        <w:rPr>
          <w:rStyle w:val="54"/>
          <w:rFonts w:ascii="宋体" w:hAnsi="宋体" w:cs="楷体"/>
          <w:b/>
          <w:bCs/>
          <w:color w:val="000000" w:themeColor="text1"/>
          <w:sz w:val="96"/>
          <w:szCs w:val="96"/>
          <w:highlight w:val="none"/>
          <w14:textFill>
            <w14:solidFill>
              <w14:schemeClr w14:val="tx1"/>
            </w14:solidFill>
          </w14:textFill>
        </w:rPr>
      </w:pPr>
      <w:r>
        <w:rPr>
          <w:rStyle w:val="54"/>
          <w:rFonts w:hint="eastAsia" w:ascii="宋体" w:hAnsi="宋体" w:cs="楷体"/>
          <w:b/>
          <w:bCs/>
          <w:color w:val="000000" w:themeColor="text1"/>
          <w:sz w:val="96"/>
          <w:szCs w:val="96"/>
          <w:highlight w:val="none"/>
          <w14:textFill>
            <w14:solidFill>
              <w14:schemeClr w14:val="tx1"/>
            </w14:solidFill>
          </w14:textFill>
        </w:rPr>
        <w:t>合</w:t>
      </w:r>
    </w:p>
    <w:p>
      <w:pPr>
        <w:spacing w:after="0" w:line="240" w:lineRule="auto"/>
        <w:ind w:firstLine="0"/>
        <w:jc w:val="center"/>
        <w:rPr>
          <w:rStyle w:val="54"/>
          <w:rFonts w:ascii="宋体" w:hAnsi="宋体" w:cs="楷体"/>
          <w:b/>
          <w:bCs/>
          <w:color w:val="000000" w:themeColor="text1"/>
          <w:sz w:val="32"/>
          <w:szCs w:val="32"/>
          <w:highlight w:val="none"/>
          <w14:textFill>
            <w14:solidFill>
              <w14:schemeClr w14:val="tx1"/>
            </w14:solidFill>
          </w14:textFill>
        </w:rPr>
      </w:pPr>
      <w:r>
        <w:rPr>
          <w:rStyle w:val="54"/>
          <w:rFonts w:hint="eastAsia" w:ascii="宋体" w:hAnsi="宋体" w:cs="楷体"/>
          <w:b/>
          <w:bCs/>
          <w:color w:val="000000" w:themeColor="text1"/>
          <w:sz w:val="96"/>
          <w:szCs w:val="96"/>
          <w:highlight w:val="none"/>
          <w14:textFill>
            <w14:solidFill>
              <w14:schemeClr w14:val="tx1"/>
            </w14:solidFill>
          </w14:textFill>
        </w:rPr>
        <w:t>同</w:t>
      </w:r>
    </w:p>
    <w:p>
      <w:pPr>
        <w:spacing w:after="312" w:line="480" w:lineRule="auto"/>
        <w:ind w:left="2558" w:leftChars="304" w:hanging="1920" w:hangingChars="600"/>
        <w:rPr>
          <w:rStyle w:val="54"/>
          <w:rFonts w:ascii="宋体" w:hAnsi="宋体" w:cs="楷体"/>
          <w:b/>
          <w:bCs/>
          <w:color w:val="000000" w:themeColor="text1"/>
          <w:sz w:val="32"/>
          <w:szCs w:val="32"/>
          <w:highlight w:val="none"/>
          <w14:textFill>
            <w14:solidFill>
              <w14:schemeClr w14:val="tx1"/>
            </w14:solidFill>
          </w14:textFill>
        </w:rPr>
      </w:pPr>
    </w:p>
    <w:p>
      <w:pPr>
        <w:spacing w:after="312" w:line="480" w:lineRule="auto"/>
        <w:ind w:firstLine="643"/>
        <w:rPr>
          <w:rStyle w:val="54"/>
          <w:rFonts w:ascii="宋体" w:hAnsi="宋体"/>
          <w:color w:val="000000" w:themeColor="text1"/>
          <w:sz w:val="28"/>
          <w:szCs w:val="28"/>
          <w:highlight w:val="none"/>
          <w:u w:val="single"/>
          <w14:textFill>
            <w14:solidFill>
              <w14:schemeClr w14:val="tx1"/>
            </w14:solidFill>
          </w14:textFill>
        </w:rPr>
      </w:pPr>
      <w:r>
        <w:rPr>
          <w:rStyle w:val="54"/>
          <w:rFonts w:ascii="宋体" w:hAnsi="宋体" w:cs="楷体"/>
          <w:b/>
          <w:bCs/>
          <w:color w:val="000000" w:themeColor="text1"/>
          <w:sz w:val="32"/>
          <w:szCs w:val="32"/>
          <w:highlight w:val="none"/>
          <w14:textFill>
            <w14:solidFill>
              <w14:schemeClr w14:val="tx1"/>
            </w14:solidFill>
          </w14:textFill>
        </w:rPr>
        <w:t>甲方：</w:t>
      </w:r>
      <w:r>
        <w:rPr>
          <w:rStyle w:val="54"/>
          <w:rFonts w:ascii="宋体" w:hAnsi="宋体"/>
          <w:color w:val="000000" w:themeColor="text1"/>
          <w:sz w:val="28"/>
          <w:szCs w:val="28"/>
          <w:highlight w:val="none"/>
          <w:u w:val="single"/>
          <w14:textFill>
            <w14:solidFill>
              <w14:schemeClr w14:val="tx1"/>
            </w14:solidFill>
          </w14:textFill>
        </w:rPr>
        <w:t xml:space="preserve">   </w:t>
      </w:r>
      <w:r>
        <w:rPr>
          <w:rStyle w:val="54"/>
          <w:rFonts w:hint="eastAsia" w:ascii="宋体" w:hAnsi="宋体"/>
          <w:color w:val="000000" w:themeColor="text1"/>
          <w:sz w:val="28"/>
          <w:szCs w:val="28"/>
          <w:highlight w:val="none"/>
          <w:u w:val="single"/>
          <w14:textFill>
            <w14:solidFill>
              <w14:schemeClr w14:val="tx1"/>
            </w14:solidFill>
          </w14:textFill>
        </w:rPr>
        <w:t>南宁市金盾道路清障有限责任公司</w:t>
      </w:r>
      <w:r>
        <w:rPr>
          <w:rStyle w:val="54"/>
          <w:rFonts w:ascii="宋体" w:hAnsi="宋体"/>
          <w:color w:val="000000" w:themeColor="text1"/>
          <w:sz w:val="28"/>
          <w:szCs w:val="28"/>
          <w:highlight w:val="none"/>
          <w:u w:val="single"/>
          <w14:textFill>
            <w14:solidFill>
              <w14:schemeClr w14:val="tx1"/>
            </w14:solidFill>
          </w14:textFill>
        </w:rPr>
        <w:t xml:space="preserve">   </w:t>
      </w:r>
    </w:p>
    <w:p>
      <w:pPr>
        <w:spacing w:after="312" w:line="800" w:lineRule="exact"/>
        <w:ind w:firstLine="643"/>
        <w:rPr>
          <w:rStyle w:val="54"/>
          <w:rFonts w:ascii="宋体" w:hAnsi="宋体" w:cs="楷体"/>
          <w:b/>
          <w:bCs/>
          <w:color w:val="000000" w:themeColor="text1"/>
          <w:sz w:val="32"/>
          <w:szCs w:val="32"/>
          <w:highlight w:val="none"/>
          <w14:textFill>
            <w14:solidFill>
              <w14:schemeClr w14:val="tx1"/>
            </w14:solidFill>
          </w14:textFill>
        </w:rPr>
      </w:pPr>
      <w:r>
        <w:rPr>
          <w:rStyle w:val="54"/>
          <w:rFonts w:ascii="宋体" w:hAnsi="宋体" w:cs="楷体"/>
          <w:b/>
          <w:bCs/>
          <w:color w:val="000000" w:themeColor="text1"/>
          <w:sz w:val="32"/>
          <w:szCs w:val="32"/>
          <w:highlight w:val="none"/>
          <w14:textFill>
            <w14:solidFill>
              <w14:schemeClr w14:val="tx1"/>
            </w14:solidFill>
          </w14:textFill>
        </w:rPr>
        <w:t>乙方</w:t>
      </w:r>
      <w:r>
        <w:rPr>
          <w:rStyle w:val="54"/>
          <w:rFonts w:hint="eastAsia" w:ascii="宋体" w:hAnsi="宋体" w:cs="楷体"/>
          <w:b/>
          <w:bCs/>
          <w:color w:val="000000" w:themeColor="text1"/>
          <w:sz w:val="32"/>
          <w:szCs w:val="32"/>
          <w:highlight w:val="none"/>
          <w14:textFill>
            <w14:solidFill>
              <w14:schemeClr w14:val="tx1"/>
            </w14:solidFill>
          </w14:textFill>
        </w:rPr>
        <w:t>：</w:t>
      </w:r>
      <w:r>
        <w:rPr>
          <w:rStyle w:val="54"/>
          <w:rFonts w:ascii="宋体" w:hAnsi="宋体" w:cs="楷体"/>
          <w:b/>
          <w:bCs/>
          <w:color w:val="000000" w:themeColor="text1"/>
          <w:sz w:val="32"/>
          <w:szCs w:val="32"/>
          <w:highlight w:val="none"/>
          <w:u w:val="single"/>
          <w14:textFill>
            <w14:solidFill>
              <w14:schemeClr w14:val="tx1"/>
            </w14:solidFill>
          </w14:textFill>
        </w:rPr>
        <w:t xml:space="preserve">   </w:t>
      </w:r>
      <w:r>
        <w:rPr>
          <w:rStyle w:val="54"/>
          <w:rFonts w:ascii="宋体" w:hAnsi="宋体"/>
          <w:color w:val="000000" w:themeColor="text1"/>
          <w:sz w:val="28"/>
          <w:szCs w:val="28"/>
          <w:highlight w:val="none"/>
          <w:u w:val="single"/>
          <w14:textFill>
            <w14:solidFill>
              <w14:schemeClr w14:val="tx1"/>
            </w14:solidFill>
          </w14:textFill>
        </w:rPr>
        <w:t xml:space="preserve">                                 </w:t>
      </w:r>
    </w:p>
    <w:p>
      <w:pPr>
        <w:spacing w:after="312" w:line="800" w:lineRule="exact"/>
        <w:ind w:firstLine="643"/>
        <w:rPr>
          <w:rStyle w:val="54"/>
          <w:rFonts w:ascii="宋体" w:hAnsi="宋体" w:cs="楷体"/>
          <w:b/>
          <w:bCs/>
          <w:color w:val="000000" w:themeColor="text1"/>
          <w:sz w:val="32"/>
          <w:szCs w:val="32"/>
          <w:highlight w:val="none"/>
          <w14:textFill>
            <w14:solidFill>
              <w14:schemeClr w14:val="tx1"/>
            </w14:solidFill>
          </w14:textFill>
        </w:rPr>
      </w:pPr>
      <w:r>
        <w:rPr>
          <w:rStyle w:val="54"/>
          <w:rFonts w:ascii="宋体" w:hAnsi="宋体" w:cs="楷体"/>
          <w:b/>
          <w:bCs/>
          <w:color w:val="000000" w:themeColor="text1"/>
          <w:sz w:val="32"/>
          <w:szCs w:val="32"/>
          <w:highlight w:val="none"/>
          <w14:textFill>
            <w14:solidFill>
              <w14:schemeClr w14:val="tx1"/>
            </w14:solidFill>
          </w14:textFill>
        </w:rPr>
        <w:t>签 订 日 期：</w:t>
      </w:r>
      <w:r>
        <w:rPr>
          <w:rStyle w:val="54"/>
          <w:rFonts w:ascii="宋体" w:hAnsi="宋体" w:cs="楷体"/>
          <w:b/>
          <w:bCs/>
          <w:color w:val="000000" w:themeColor="text1"/>
          <w:sz w:val="32"/>
          <w:szCs w:val="32"/>
          <w:highlight w:val="none"/>
          <w:u w:val="single"/>
          <w14:textFill>
            <w14:solidFill>
              <w14:schemeClr w14:val="tx1"/>
            </w14:solidFill>
          </w14:textFill>
        </w:rPr>
        <w:t xml:space="preserve">        </w:t>
      </w:r>
      <w:r>
        <w:rPr>
          <w:rStyle w:val="54"/>
          <w:rFonts w:ascii="宋体" w:hAnsi="宋体"/>
          <w:color w:val="000000" w:themeColor="text1"/>
          <w:sz w:val="28"/>
          <w:szCs w:val="28"/>
          <w:highlight w:val="none"/>
          <w:u w:val="single"/>
          <w14:textFill>
            <w14:solidFill>
              <w14:schemeClr w14:val="tx1"/>
            </w14:solidFill>
          </w14:textFill>
        </w:rPr>
        <w:t xml:space="preserve">  </w:t>
      </w:r>
      <w:r>
        <w:rPr>
          <w:rStyle w:val="54"/>
          <w:rFonts w:ascii="宋体" w:hAnsi="宋体"/>
          <w:color w:val="000000" w:themeColor="text1"/>
          <w:sz w:val="28"/>
          <w:szCs w:val="28"/>
          <w:highlight w:val="none"/>
          <w14:textFill>
            <w14:solidFill>
              <w14:schemeClr w14:val="tx1"/>
            </w14:solidFill>
          </w14:textFill>
        </w:rPr>
        <w:t>年</w:t>
      </w:r>
      <w:r>
        <w:rPr>
          <w:rStyle w:val="54"/>
          <w:rFonts w:ascii="宋体" w:hAnsi="宋体"/>
          <w:color w:val="000000" w:themeColor="text1"/>
          <w:sz w:val="28"/>
          <w:szCs w:val="28"/>
          <w:highlight w:val="none"/>
          <w:u w:val="single"/>
          <w14:textFill>
            <w14:solidFill>
              <w14:schemeClr w14:val="tx1"/>
            </w14:solidFill>
          </w14:textFill>
        </w:rPr>
        <w:t xml:space="preserve">          </w:t>
      </w:r>
      <w:r>
        <w:rPr>
          <w:rStyle w:val="54"/>
          <w:rFonts w:ascii="宋体" w:hAnsi="宋体"/>
          <w:color w:val="000000" w:themeColor="text1"/>
          <w:sz w:val="28"/>
          <w:szCs w:val="28"/>
          <w:highlight w:val="none"/>
          <w14:textFill>
            <w14:solidFill>
              <w14:schemeClr w14:val="tx1"/>
            </w14:solidFill>
          </w14:textFill>
        </w:rPr>
        <w:t>月</w:t>
      </w:r>
      <w:r>
        <w:rPr>
          <w:rStyle w:val="54"/>
          <w:rFonts w:ascii="宋体" w:hAnsi="宋体"/>
          <w:color w:val="000000" w:themeColor="text1"/>
          <w:sz w:val="28"/>
          <w:szCs w:val="28"/>
          <w:highlight w:val="none"/>
          <w:u w:val="single"/>
          <w14:textFill>
            <w14:solidFill>
              <w14:schemeClr w14:val="tx1"/>
            </w14:solidFill>
          </w14:textFill>
        </w:rPr>
        <w:t xml:space="preserve">         </w:t>
      </w:r>
      <w:r>
        <w:rPr>
          <w:rStyle w:val="54"/>
          <w:rFonts w:ascii="宋体" w:hAnsi="宋体"/>
          <w:color w:val="000000" w:themeColor="text1"/>
          <w:sz w:val="28"/>
          <w:szCs w:val="28"/>
          <w:highlight w:val="none"/>
          <w14:textFill>
            <w14:solidFill>
              <w14:schemeClr w14:val="tx1"/>
            </w14:solidFill>
          </w14:textFill>
        </w:rPr>
        <w:t>日</w:t>
      </w:r>
    </w:p>
    <w:p>
      <w:pPr>
        <w:spacing w:line="600" w:lineRule="exact"/>
        <w:jc w:val="center"/>
        <w:rPr>
          <w:rStyle w:val="54"/>
          <w:color w:val="000000" w:themeColor="text1"/>
          <w:szCs w:val="21"/>
          <w:highlight w:val="none"/>
          <w14:textFill>
            <w14:solidFill>
              <w14:schemeClr w14:val="tx1"/>
            </w14:solidFill>
          </w14:textFill>
        </w:rPr>
      </w:pPr>
      <w:r>
        <w:rPr>
          <w:rStyle w:val="54"/>
          <w:color w:val="000000" w:themeColor="text1"/>
          <w:szCs w:val="21"/>
          <w:highlight w:val="none"/>
          <w14:textFill>
            <w14:solidFill>
              <w14:schemeClr w14:val="tx1"/>
            </w14:solidFill>
          </w14:textFill>
        </w:rPr>
        <w:t xml:space="preserve">                                                    </w:t>
      </w:r>
    </w:p>
    <w:p>
      <w:pPr>
        <w:widowControl/>
        <w:spacing w:line="360" w:lineRule="auto"/>
        <w:ind w:firstLine="480" w:firstLineChars="200"/>
        <w:textAlignment w:val="baseline"/>
        <w:rPr>
          <w:rStyle w:val="54"/>
          <w:rFonts w:ascii="宋体" w:hAnsi="宋体"/>
          <w:color w:val="000000" w:themeColor="text1"/>
          <w:sz w:val="24"/>
          <w:highlight w:val="none"/>
          <w14:textFill>
            <w14:solidFill>
              <w14:schemeClr w14:val="tx1"/>
            </w14:solidFill>
          </w14:textFill>
        </w:rPr>
      </w:pPr>
    </w:p>
    <w:p>
      <w:pPr>
        <w:widowControl/>
        <w:spacing w:line="240" w:lineRule="auto"/>
        <w:ind w:firstLine="0" w:firstLineChars="0"/>
        <w:textAlignment w:val="auto"/>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br w:type="page"/>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甲乙双方本着平等、自愿、互利的原则，根据《中华人民共和国民法典》及其他有关法律、法规和规章，签订本合同，并共同遵照执行。</w:t>
      </w:r>
    </w:p>
    <w:p>
      <w:pPr>
        <w:widowControl/>
        <w:numPr>
          <w:ilvl w:val="0"/>
          <w:numId w:val="2"/>
        </w:numPr>
        <w:spacing w:line="360" w:lineRule="auto"/>
        <w:ind w:firstLine="480" w:firstLineChars="200"/>
        <w:textAlignment w:val="baseline"/>
        <w:rPr>
          <w:rStyle w:val="54"/>
          <w:rFonts w:ascii="宋体" w:hAnsi="宋体" w:cs="宋体"/>
          <w:b/>
          <w:color w:val="000000" w:themeColor="text1"/>
          <w:sz w:val="24"/>
          <w:highlight w:val="none"/>
          <w14:textFill>
            <w14:solidFill>
              <w14:schemeClr w14:val="tx1"/>
            </w14:solidFill>
          </w14:textFill>
        </w:rPr>
      </w:pPr>
      <w:r>
        <w:rPr>
          <w:rStyle w:val="54"/>
          <w:rFonts w:ascii="宋体" w:hAnsi="宋体" w:cs="宋体"/>
          <w:b/>
          <w:color w:val="000000" w:themeColor="text1"/>
          <w:sz w:val="24"/>
          <w:highlight w:val="none"/>
          <w14:textFill>
            <w14:solidFill>
              <w14:schemeClr w14:val="tx1"/>
            </w14:solidFill>
          </w14:textFill>
        </w:rPr>
        <w:t xml:space="preserve"> </w:t>
      </w:r>
      <w:r>
        <w:rPr>
          <w:rStyle w:val="54"/>
          <w:rFonts w:hint="eastAsia" w:ascii="宋体" w:hAnsi="宋体" w:cs="宋体"/>
          <w:b/>
          <w:color w:val="000000" w:themeColor="text1"/>
          <w:sz w:val="24"/>
          <w:highlight w:val="none"/>
          <w14:textFill>
            <w14:solidFill>
              <w14:schemeClr w14:val="tx1"/>
            </w14:solidFill>
          </w14:textFill>
        </w:rPr>
        <w:t>服务</w:t>
      </w:r>
      <w:r>
        <w:rPr>
          <w:rStyle w:val="54"/>
          <w:rFonts w:ascii="宋体" w:hAnsi="宋体" w:cs="宋体"/>
          <w:b/>
          <w:color w:val="000000" w:themeColor="text1"/>
          <w:sz w:val="24"/>
          <w:highlight w:val="none"/>
          <w14:textFill>
            <w14:solidFill>
              <w14:schemeClr w14:val="tx1"/>
            </w14:solidFill>
          </w14:textFill>
        </w:rPr>
        <w:t>内容</w:t>
      </w:r>
      <w:r>
        <w:rPr>
          <w:rStyle w:val="54"/>
          <w:rFonts w:hint="eastAsia" w:ascii="宋体" w:hAnsi="宋体" w:cs="宋体"/>
          <w:b/>
          <w:color w:val="000000" w:themeColor="text1"/>
          <w:sz w:val="24"/>
          <w:highlight w:val="none"/>
          <w14:textFill>
            <w14:solidFill>
              <w14:schemeClr w14:val="tx1"/>
            </w14:solidFill>
          </w14:textFill>
        </w:rPr>
        <w:t>：乙方为甲方猎聘下列人员并提供人事代理服务</w:t>
      </w:r>
    </w:p>
    <w:tbl>
      <w:tblPr>
        <w:tblStyle w:val="28"/>
        <w:tblW w:w="7925" w:type="dxa"/>
        <w:tblInd w:w="639" w:type="dxa"/>
        <w:tblLayout w:type="fixed"/>
        <w:tblCellMar>
          <w:top w:w="0" w:type="dxa"/>
          <w:left w:w="108" w:type="dxa"/>
          <w:bottom w:w="0" w:type="dxa"/>
          <w:right w:w="108" w:type="dxa"/>
        </w:tblCellMar>
      </w:tblPr>
      <w:tblGrid>
        <w:gridCol w:w="2463"/>
        <w:gridCol w:w="1587"/>
        <w:gridCol w:w="3875"/>
      </w:tblGrid>
      <w:tr>
        <w:tblPrEx>
          <w:tblCellMar>
            <w:top w:w="0" w:type="dxa"/>
            <w:left w:w="108" w:type="dxa"/>
            <w:bottom w:w="0" w:type="dxa"/>
            <w:right w:w="108" w:type="dxa"/>
          </w:tblCellMar>
        </w:tblPrEx>
        <w:trPr>
          <w:trHeight w:val="660" w:hRule="atLeast"/>
        </w:trPr>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专业人员</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数量</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包括但不限于以下资质要求</w:t>
            </w:r>
          </w:p>
        </w:tc>
      </w:tr>
      <w:tr>
        <w:tblPrEx>
          <w:tblCellMar>
            <w:top w:w="0" w:type="dxa"/>
            <w:left w:w="108" w:type="dxa"/>
            <w:bottom w:w="0" w:type="dxa"/>
            <w:right w:w="108" w:type="dxa"/>
          </w:tblCellMar>
        </w:tblPrEx>
        <w:trPr>
          <w:trHeight w:val="820" w:hRule="atLeast"/>
        </w:trPr>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highlight w:val="none"/>
                <w14:textFill>
                  <w14:solidFill>
                    <w14:schemeClr w14:val="tx1"/>
                  </w14:solidFill>
                </w14:textFill>
              </w:rPr>
            </w:pPr>
            <w:r>
              <w:rPr>
                <w:rFonts w:asciiTheme="minorEastAsia" w:hAnsiTheme="minorEastAsia" w:eastAsiaTheme="minorEastAsia" w:cstheme="minorEastAsia"/>
                <w:color w:val="000000" w:themeColor="text1"/>
                <w:kern w:val="0"/>
                <w:sz w:val="24"/>
                <w:highlight w:val="none"/>
                <w:lang w:bidi="ar"/>
                <w14:textFill>
                  <w14:solidFill>
                    <w14:schemeClr w14:val="tx1"/>
                  </w14:solidFill>
                </w14:textFill>
              </w:rPr>
              <w:t>XX证/技术等级</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24"/>
                <w:highlight w:val="none"/>
                <w14:textFill>
                  <w14:solidFill>
                    <w14:schemeClr w14:val="tx1"/>
                  </w14:solidFill>
                </w14:textFill>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320" w:hRule="atLeast"/>
        </w:trPr>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highlight w:val="none"/>
                <w14:textFill>
                  <w14:solidFill>
                    <w14:schemeClr w14:val="tx1"/>
                  </w14:solidFill>
                </w14:textFill>
              </w:rPr>
            </w:pPr>
            <w:r>
              <w:rPr>
                <w:rFonts w:asciiTheme="minorEastAsia" w:hAnsiTheme="minorEastAsia" w:eastAsiaTheme="minorEastAsia" w:cstheme="minorEastAsia"/>
                <w:color w:val="000000" w:themeColor="text1"/>
                <w:kern w:val="0"/>
                <w:sz w:val="24"/>
                <w:highlight w:val="none"/>
                <w:lang w:bidi="ar"/>
                <w14:textFill>
                  <w14:solidFill>
                    <w14:schemeClr w14:val="tx1"/>
                  </w14:solidFill>
                </w14:textFill>
              </w:rPr>
              <w:t>XX证/技术等级</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24"/>
                <w:highlight w:val="none"/>
                <w14:textFill>
                  <w14:solidFill>
                    <w14:schemeClr w14:val="tx1"/>
                  </w14:solidFill>
                </w14:textFill>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20" w:hRule="atLeast"/>
        </w:trPr>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24"/>
                <w:highlight w:val="none"/>
                <w14:textFill>
                  <w14:solidFill>
                    <w14:schemeClr w14:val="tx1"/>
                  </w14:solidFill>
                </w14:textFill>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660" w:hRule="atLeast"/>
        </w:trPr>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合计</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sz w:val="24"/>
                <w:highlight w:val="none"/>
                <w14:textFill>
                  <w14:solidFill>
                    <w14:schemeClr w14:val="tx1"/>
                  </w14:solidFill>
                </w14:textFill>
              </w:rPr>
            </w:pP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themeColor="text1"/>
                <w:sz w:val="24"/>
                <w:highlight w:val="none"/>
                <w14:textFill>
                  <w14:solidFill>
                    <w14:schemeClr w14:val="tx1"/>
                  </w14:solidFill>
                </w14:textFill>
              </w:rPr>
            </w:pPr>
          </w:p>
        </w:tc>
      </w:tr>
    </w:tbl>
    <w:p>
      <w:pPr>
        <w:spacing w:line="360" w:lineRule="auto"/>
        <w:ind w:firstLine="480" w:firstLineChars="200"/>
        <w:rPr>
          <w:rStyle w:val="54"/>
          <w:rFonts w:ascii="宋体" w:hAnsi="宋体" w:cs="宋体"/>
          <w:color w:val="000000" w:themeColor="text1"/>
          <w:sz w:val="24"/>
          <w:highlight w:val="none"/>
          <w14:textFill>
            <w14:solidFill>
              <w14:schemeClr w14:val="tx1"/>
            </w14:solidFill>
          </w14:textFill>
        </w:rPr>
      </w:pPr>
    </w:p>
    <w:p>
      <w:pPr>
        <w:keepNext/>
        <w:keepLines/>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备注：</w:t>
      </w:r>
    </w:p>
    <w:p>
      <w:pPr>
        <w:keepNext/>
        <w:keepLines/>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Style w:val="54"/>
          <w:rFonts w:hint="eastAsia" w:ascii="宋体" w:hAnsi="宋体" w:cs="宋体"/>
          <w:color w:val="000000" w:themeColor="text1"/>
          <w:sz w:val="24"/>
          <w:highlight w:val="none"/>
          <w14:textFill>
            <w14:solidFill>
              <w14:schemeClr w14:val="tx1"/>
            </w14:solidFill>
          </w14:textFill>
        </w:rPr>
        <w:t>人数及专业等级仅供参考，猎聘的人员需符合办理公路安全设施分项二级、公路机电工程分项二级、安全生产许可证资质要求。</w:t>
      </w:r>
      <w:bookmarkStart w:id="481" w:name="_GoBack"/>
      <w:bookmarkEnd w:id="481"/>
    </w:p>
    <w:p>
      <w:pPr>
        <w:keepNext/>
        <w:keepLines/>
        <w:widowControl/>
        <w:spacing w:line="360" w:lineRule="auto"/>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2、如资质申报相关规定政策变化，乙方需随政策变化提供符合资质申报的相应人员，合同总价不变，猎聘人员可共同用于申请本合同涉及的不同资质</w:t>
      </w:r>
      <w:r>
        <w:rPr>
          <w:rStyle w:val="32"/>
          <w:rFonts w:hint="eastAsia" w:ascii="宋体" w:hAnsi="宋体" w:cs="宋体"/>
          <w:sz w:val="24"/>
          <w:szCs w:val="24"/>
          <w:highlight w:val="none"/>
        </w:rPr>
        <w:t>。</w:t>
      </w:r>
    </w:p>
    <w:p>
      <w:pPr>
        <w:keepNext/>
        <w:keepLines/>
        <w:widowControl/>
        <w:spacing w:line="360" w:lineRule="auto"/>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3、该费用</w:t>
      </w:r>
      <w:r>
        <w:rPr>
          <w:rFonts w:hint="eastAsia" w:ascii="宋体" w:hAnsi="宋体" w:cs="宋体"/>
          <w:color w:val="000000" w:themeColor="text1"/>
          <w:sz w:val="24"/>
          <w:highlight w:val="none"/>
          <w14:textFill>
            <w14:solidFill>
              <w14:schemeClr w14:val="tx1"/>
            </w14:solidFill>
          </w14:textFill>
        </w:rPr>
        <w:t>采取总价包干，包括但不限于猎聘服务费、猎聘人员申报资质期间的社保、工资、税费等相关费用。</w:t>
      </w:r>
    </w:p>
    <w:p>
      <w:pPr>
        <w:widowControl/>
        <w:spacing w:line="360" w:lineRule="auto"/>
        <w:ind w:firstLine="480" w:firstLineChars="200"/>
        <w:textAlignment w:val="baseline"/>
        <w:rPr>
          <w:rStyle w:val="54"/>
          <w:rFonts w:ascii="宋体" w:hAnsi="宋体" w:cs="宋体"/>
          <w:b/>
          <w:color w:val="000000" w:themeColor="text1"/>
          <w:sz w:val="24"/>
          <w:highlight w:val="none"/>
          <w14:textFill>
            <w14:solidFill>
              <w14:schemeClr w14:val="tx1"/>
            </w14:solidFill>
          </w14:textFill>
        </w:rPr>
      </w:pPr>
      <w:r>
        <w:rPr>
          <w:rStyle w:val="54"/>
          <w:rFonts w:hint="eastAsia" w:ascii="宋体" w:hAnsi="宋体" w:cs="宋体"/>
          <w:b/>
          <w:color w:val="000000" w:themeColor="text1"/>
          <w:sz w:val="24"/>
          <w:highlight w:val="none"/>
          <w14:textFill>
            <w14:solidFill>
              <w14:schemeClr w14:val="tx1"/>
            </w14:solidFill>
          </w14:textFill>
        </w:rPr>
        <w:t>第二条 合同履行</w:t>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1、自本合同签订之日起乙方应在</w:t>
      </w:r>
      <w:r>
        <w:rPr>
          <w:rStyle w:val="54"/>
          <w:rFonts w:hint="eastAsia" w:ascii="宋体" w:hAnsi="宋体" w:cs="宋体"/>
          <w:color w:val="000000" w:themeColor="text1"/>
          <w:sz w:val="24"/>
          <w:highlight w:val="none"/>
          <w:u w:val="single"/>
          <w14:textFill>
            <w14:solidFill>
              <w14:schemeClr w14:val="tx1"/>
            </w14:solidFill>
          </w14:textFill>
        </w:rPr>
        <w:t>2024年7月1</w:t>
      </w:r>
      <w:r>
        <w:rPr>
          <w:rStyle w:val="54"/>
          <w:rFonts w:hint="eastAsia" w:ascii="宋体" w:hAnsi="宋体" w:cs="宋体"/>
          <w:color w:val="000000" w:themeColor="text1"/>
          <w:sz w:val="24"/>
          <w:highlight w:val="none"/>
          <w:u w:val="single"/>
          <w:lang w:eastAsia="zh-CN"/>
          <w14:textFill>
            <w14:solidFill>
              <w14:schemeClr w14:val="tx1"/>
            </w14:solidFill>
          </w14:textFill>
        </w:rPr>
        <w:t>2</w:t>
      </w:r>
      <w:r>
        <w:rPr>
          <w:rStyle w:val="54"/>
          <w:rFonts w:hint="eastAsia" w:ascii="宋体" w:hAnsi="宋体" w:cs="宋体"/>
          <w:color w:val="000000" w:themeColor="text1"/>
          <w:sz w:val="24"/>
          <w:highlight w:val="none"/>
          <w:u w:val="single"/>
          <w14:textFill>
            <w14:solidFill>
              <w14:schemeClr w14:val="tx1"/>
            </w14:solidFill>
          </w14:textFill>
        </w:rPr>
        <w:t>日前</w:t>
      </w:r>
      <w:r>
        <w:rPr>
          <w:rStyle w:val="54"/>
          <w:rFonts w:hint="eastAsia" w:ascii="宋体" w:hAnsi="宋体" w:cs="宋体"/>
          <w:color w:val="000000" w:themeColor="text1"/>
          <w:sz w:val="24"/>
          <w:highlight w:val="none"/>
          <w14:textFill>
            <w14:solidFill>
              <w14:schemeClr w14:val="tx1"/>
            </w14:solidFill>
          </w14:textFill>
        </w:rPr>
        <w:t>，全面完成委托内容。</w:t>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2、乙方协助猎聘关于甲方办理“公路安全设施分项二级、公路机电工程分项二级、安全生产许可证”资质所需的人员，持证人证书条件由乙方按资质标准猎聘。</w:t>
      </w:r>
    </w:p>
    <w:p>
      <w:pPr>
        <w:widowControl/>
        <w:spacing w:line="360" w:lineRule="auto"/>
        <w:ind w:firstLine="480" w:firstLineChars="200"/>
        <w:textAlignment w:val="baseline"/>
        <w:rPr>
          <w:rStyle w:val="54"/>
          <w:rFonts w:ascii="宋体" w:hAnsi="宋体" w:cs="宋体"/>
          <w:color w:val="000000" w:themeColor="text1"/>
          <w:sz w:val="24"/>
          <w:highlight w:val="none"/>
          <w:u w:val="singl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3、甲方向乙方指定账户支付本合同约定的委托服务费用。甲方不得向乙方的未书面授权的工作人员直接支付现金或提供支票，否则，支付无效，乙方一概不予认可。</w:t>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4、乙方推荐人才必须满足甲方及甲方申办“公路安全设施分项二级、公路机电工程分项二级、安全生产许可证”资质的人员要求。</w:t>
      </w:r>
    </w:p>
    <w:p>
      <w:pPr>
        <w:widowControl/>
        <w:spacing w:line="360" w:lineRule="auto"/>
        <w:ind w:firstLine="480" w:firstLineChars="200"/>
        <w:jc w:val="left"/>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bCs/>
          <w:color w:val="000000" w:themeColor="text1"/>
          <w:kern w:val="0"/>
          <w:sz w:val="24"/>
          <w:highlight w:val="none"/>
          <w14:textFill>
            <w14:solidFill>
              <w14:schemeClr w14:val="tx1"/>
            </w14:solidFill>
          </w14:textFill>
        </w:rPr>
        <w:t>5、</w:t>
      </w:r>
      <w:r>
        <w:rPr>
          <w:rStyle w:val="54"/>
          <w:rFonts w:hint="eastAsia" w:ascii="宋体" w:hAnsi="宋体" w:cs="宋体"/>
          <w:color w:val="000000" w:themeColor="text1"/>
          <w:sz w:val="24"/>
          <w:highlight w:val="none"/>
          <w14:textFill>
            <w14:solidFill>
              <w14:schemeClr w14:val="tx1"/>
            </w14:solidFill>
          </w14:textFill>
        </w:rPr>
        <w:t>因甲方的原因导致本合同不能履行的，甲方应全额向乙方支付相应服务费用。</w:t>
      </w:r>
    </w:p>
    <w:p>
      <w:pPr>
        <w:widowControl/>
        <w:tabs>
          <w:tab w:val="left" w:pos="426"/>
        </w:tabs>
        <w:spacing w:line="360" w:lineRule="auto"/>
        <w:ind w:firstLine="480" w:firstLineChars="200"/>
        <w:textAlignment w:val="baseline"/>
        <w:rPr>
          <w:rStyle w:val="54"/>
          <w:rFonts w:ascii="宋体" w:hAnsi="宋体" w:cs="宋体"/>
          <w:b/>
          <w:color w:val="000000" w:themeColor="text1"/>
          <w:sz w:val="24"/>
          <w:highlight w:val="none"/>
          <w:lang w:val="zh-CN"/>
          <w14:textFill>
            <w14:solidFill>
              <w14:schemeClr w14:val="tx1"/>
            </w14:solidFill>
          </w14:textFill>
        </w:rPr>
      </w:pPr>
      <w:r>
        <w:rPr>
          <w:rStyle w:val="54"/>
          <w:rFonts w:hint="eastAsia" w:ascii="宋体" w:hAnsi="宋体" w:cs="宋体"/>
          <w:b/>
          <w:color w:val="000000" w:themeColor="text1"/>
          <w:sz w:val="24"/>
          <w:highlight w:val="none"/>
          <w:lang w:val="zh-CN"/>
          <w14:textFill>
            <w14:solidFill>
              <w14:schemeClr w14:val="tx1"/>
            </w14:solidFill>
          </w14:textFill>
        </w:rPr>
        <w:t>第</w:t>
      </w:r>
      <w:r>
        <w:rPr>
          <w:rStyle w:val="54"/>
          <w:rFonts w:hint="eastAsia" w:ascii="宋体" w:hAnsi="宋体" w:cs="宋体"/>
          <w:b/>
          <w:color w:val="000000" w:themeColor="text1"/>
          <w:sz w:val="24"/>
          <w:highlight w:val="none"/>
          <w14:textFill>
            <w14:solidFill>
              <w14:schemeClr w14:val="tx1"/>
            </w14:solidFill>
          </w14:textFill>
        </w:rPr>
        <w:t>三</w:t>
      </w:r>
      <w:r>
        <w:rPr>
          <w:rStyle w:val="54"/>
          <w:rFonts w:hint="eastAsia" w:ascii="宋体" w:hAnsi="宋体" w:cs="宋体"/>
          <w:b/>
          <w:color w:val="000000" w:themeColor="text1"/>
          <w:sz w:val="24"/>
          <w:highlight w:val="none"/>
          <w:lang w:val="zh-CN"/>
          <w14:textFill>
            <w14:solidFill>
              <w14:schemeClr w14:val="tx1"/>
            </w14:solidFill>
          </w14:textFill>
        </w:rPr>
        <w:t>条</w:t>
      </w:r>
      <w:r>
        <w:rPr>
          <w:rStyle w:val="54"/>
          <w:rFonts w:hint="eastAsia" w:ascii="宋体" w:hAnsi="宋体" w:cs="宋体"/>
          <w:b/>
          <w:color w:val="000000" w:themeColor="text1"/>
          <w:sz w:val="24"/>
          <w:highlight w:val="none"/>
          <w14:textFill>
            <w14:solidFill>
              <w14:schemeClr w14:val="tx1"/>
            </w14:solidFill>
          </w14:textFill>
        </w:rPr>
        <w:t xml:space="preserve">  </w:t>
      </w:r>
      <w:r>
        <w:rPr>
          <w:rStyle w:val="54"/>
          <w:rFonts w:hint="eastAsia" w:ascii="宋体" w:hAnsi="宋体" w:cs="宋体"/>
          <w:b/>
          <w:color w:val="000000" w:themeColor="text1"/>
          <w:sz w:val="24"/>
          <w:highlight w:val="none"/>
          <w:lang w:val="zh-CN"/>
          <w14:textFill>
            <w14:solidFill>
              <w14:schemeClr w14:val="tx1"/>
            </w14:solidFill>
          </w14:textFill>
        </w:rPr>
        <w:t>支付方法</w:t>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Style w:val="54"/>
          <w:rFonts w:hint="eastAsia" w:ascii="宋体" w:hAnsi="宋体" w:cs="宋体"/>
          <w:color w:val="000000" w:themeColor="text1"/>
          <w:sz w:val="24"/>
          <w:highlight w:val="none"/>
          <w14:textFill>
            <w14:solidFill>
              <w14:schemeClr w14:val="tx1"/>
            </w14:solidFill>
          </w14:textFill>
        </w:rPr>
        <w:t>乙方猎聘的人员经系统验证符合办理公路安全设施分项二级、公路机电工程分项二级、安全生产许可证资质要求，与甲方签订劳动合同后</w:t>
      </w:r>
      <w:r>
        <w:rPr>
          <w:rStyle w:val="54"/>
          <w:rFonts w:hint="eastAsia" w:ascii="宋体" w:hAnsi="宋体" w:cs="宋体"/>
          <w:color w:val="000000" w:themeColor="text1"/>
          <w:sz w:val="24"/>
          <w:highlight w:val="none"/>
          <w:lang w:val="zh-CN"/>
          <w14:textFill>
            <w14:solidFill>
              <w14:schemeClr w14:val="tx1"/>
            </w14:solidFill>
          </w14:textFill>
        </w:rPr>
        <w:t>，</w:t>
      </w:r>
      <w:r>
        <w:rPr>
          <w:rStyle w:val="54"/>
          <w:rFonts w:hint="eastAsia" w:ascii="宋体" w:hAnsi="宋体" w:cs="宋体"/>
          <w:color w:val="000000" w:themeColor="text1"/>
          <w:sz w:val="24"/>
          <w:highlight w:val="none"/>
          <w14:textFill>
            <w14:solidFill>
              <w14:schemeClr w14:val="tx1"/>
            </w14:solidFill>
          </w14:textFill>
        </w:rPr>
        <w:t>甲方</w:t>
      </w:r>
      <w:r>
        <w:rPr>
          <w:rStyle w:val="54"/>
          <w:rFonts w:hint="eastAsia" w:ascii="宋体" w:hAnsi="宋体" w:cs="宋体"/>
          <w:color w:val="000000" w:themeColor="text1"/>
          <w:sz w:val="24"/>
          <w:highlight w:val="none"/>
          <w:lang w:val="zh-CN"/>
          <w14:textFill>
            <w14:solidFill>
              <w14:schemeClr w14:val="tx1"/>
            </w14:solidFill>
          </w14:textFill>
        </w:rPr>
        <w:t>应于</w:t>
      </w:r>
      <w:r>
        <w:rPr>
          <w:rStyle w:val="54"/>
          <w:rFonts w:hint="eastAsia" w:ascii="宋体" w:hAnsi="宋体" w:cs="宋体"/>
          <w:color w:val="000000" w:themeColor="text1"/>
          <w:sz w:val="24"/>
          <w:highlight w:val="none"/>
          <w:u w:val="single"/>
          <w14:textFill>
            <w14:solidFill>
              <w14:schemeClr w14:val="tx1"/>
            </w14:solidFill>
          </w14:textFill>
        </w:rPr>
        <w:t xml:space="preserve"> 3 </w:t>
      </w:r>
      <w:r>
        <w:rPr>
          <w:rStyle w:val="54"/>
          <w:rFonts w:hint="eastAsia" w:ascii="宋体" w:hAnsi="宋体" w:cs="宋体"/>
          <w:color w:val="000000" w:themeColor="text1"/>
          <w:sz w:val="24"/>
          <w:highlight w:val="none"/>
          <w:lang w:val="zh-CN"/>
          <w14:textFill>
            <w14:solidFill>
              <w14:schemeClr w14:val="tx1"/>
            </w14:solidFill>
          </w14:textFill>
        </w:rPr>
        <w:t>个工作日内支付</w:t>
      </w:r>
      <w:r>
        <w:rPr>
          <w:rStyle w:val="54"/>
          <w:rFonts w:hint="eastAsia" w:ascii="宋体" w:hAnsi="宋体" w:cs="宋体"/>
          <w:color w:val="000000" w:themeColor="text1"/>
          <w:sz w:val="24"/>
          <w:highlight w:val="none"/>
          <w14:textFill>
            <w14:solidFill>
              <w14:schemeClr w14:val="tx1"/>
            </w14:solidFill>
          </w14:textFill>
        </w:rPr>
        <w:t>给</w:t>
      </w:r>
      <w:r>
        <w:rPr>
          <w:rStyle w:val="54"/>
          <w:rFonts w:hint="eastAsia" w:ascii="宋体" w:hAnsi="宋体" w:cs="宋体"/>
          <w:color w:val="000000" w:themeColor="text1"/>
          <w:sz w:val="24"/>
          <w:highlight w:val="none"/>
          <w:lang w:val="zh-CN"/>
          <w14:textFill>
            <w14:solidFill>
              <w14:schemeClr w14:val="tx1"/>
            </w14:solidFill>
          </w14:textFill>
        </w:rPr>
        <w:t>乙方</w:t>
      </w:r>
      <w:r>
        <w:rPr>
          <w:rStyle w:val="54"/>
          <w:rFonts w:hint="eastAsia" w:ascii="宋体" w:hAnsi="宋体" w:cs="宋体"/>
          <w:color w:val="000000" w:themeColor="text1"/>
          <w:sz w:val="24"/>
          <w:highlight w:val="none"/>
          <w14:textFill>
            <w14:solidFill>
              <w14:schemeClr w14:val="tx1"/>
            </w14:solidFill>
          </w14:textFill>
        </w:rPr>
        <w:t>合同总价的75%的</w:t>
      </w:r>
      <w:r>
        <w:rPr>
          <w:rStyle w:val="54"/>
          <w:rFonts w:hint="eastAsia" w:ascii="宋体" w:hAnsi="宋体" w:cs="宋体"/>
          <w:color w:val="000000" w:themeColor="text1"/>
          <w:sz w:val="24"/>
          <w:highlight w:val="none"/>
          <w:lang w:val="zh-CN"/>
          <w14:textFill>
            <w14:solidFill>
              <w14:schemeClr w14:val="tx1"/>
            </w14:solidFill>
          </w14:textFill>
        </w:rPr>
        <w:t>费用,</w:t>
      </w:r>
      <w:r>
        <w:rPr>
          <w:rStyle w:val="54"/>
          <w:rFonts w:hint="eastAsia" w:ascii="宋体" w:hAnsi="宋体" w:cs="宋体"/>
          <w:color w:val="000000" w:themeColor="text1"/>
          <w:sz w:val="24"/>
          <w:highlight w:val="none"/>
          <w:u w:val="single"/>
          <w:lang w:val="zh-CN"/>
          <w14:textFill>
            <w14:solidFill>
              <w14:schemeClr w14:val="tx1"/>
            </w14:solidFill>
          </w14:textFill>
        </w:rPr>
        <w:t>￥</w:t>
      </w:r>
      <w:r>
        <w:rPr>
          <w:rStyle w:val="54"/>
          <w:rFonts w:hint="eastAsia" w:ascii="宋体" w:hAnsi="宋体" w:cs="宋体"/>
          <w:color w:val="000000" w:themeColor="text1"/>
          <w:sz w:val="24"/>
          <w:highlight w:val="none"/>
          <w:u w:val="single"/>
          <w14:textFill>
            <w14:solidFill>
              <w14:schemeClr w14:val="tx1"/>
            </w14:solidFill>
          </w14:textFill>
        </w:rPr>
        <w:t xml:space="preserve">       </w:t>
      </w:r>
      <w:r>
        <w:rPr>
          <w:rStyle w:val="54"/>
          <w:rFonts w:hint="eastAsia" w:ascii="宋体" w:hAnsi="宋体" w:cs="宋体"/>
          <w:color w:val="000000" w:themeColor="text1"/>
          <w:sz w:val="24"/>
          <w:highlight w:val="none"/>
          <w:u w:val="single"/>
          <w:lang w:val="zh-CN"/>
          <w14:textFill>
            <w14:solidFill>
              <w14:schemeClr w14:val="tx1"/>
            </w14:solidFill>
          </w14:textFill>
        </w:rPr>
        <w:t>（大写：</w:t>
      </w:r>
      <w:r>
        <w:rPr>
          <w:rStyle w:val="54"/>
          <w:rFonts w:hint="eastAsia" w:ascii="宋体" w:hAnsi="宋体" w:cs="宋体"/>
          <w:color w:val="000000" w:themeColor="text1"/>
          <w:sz w:val="24"/>
          <w:highlight w:val="none"/>
          <w:u w:val="single"/>
          <w14:textFill>
            <w14:solidFill>
              <w14:schemeClr w14:val="tx1"/>
            </w14:solidFill>
          </w14:textFill>
        </w:rPr>
        <w:t xml:space="preserve">         </w:t>
      </w:r>
      <w:r>
        <w:rPr>
          <w:rStyle w:val="54"/>
          <w:rFonts w:hint="eastAsia" w:ascii="宋体" w:hAnsi="宋体" w:cs="宋体"/>
          <w:color w:val="000000" w:themeColor="text1"/>
          <w:sz w:val="24"/>
          <w:highlight w:val="none"/>
          <w:lang w:val="zh-CN"/>
          <w14:textFill>
            <w14:solidFill>
              <w14:schemeClr w14:val="tx1"/>
            </w14:solidFill>
          </w14:textFill>
        </w:rPr>
        <w:t>）</w:t>
      </w:r>
      <w:r>
        <w:rPr>
          <w:rStyle w:val="54"/>
          <w:rFonts w:hint="eastAsia" w:ascii="宋体" w:hAnsi="宋体" w:cs="宋体"/>
          <w:color w:val="000000" w:themeColor="text1"/>
          <w:sz w:val="24"/>
          <w:highlight w:val="none"/>
          <w14:textFill>
            <w14:solidFill>
              <w14:schemeClr w14:val="tx1"/>
            </w14:solidFill>
          </w14:textFill>
        </w:rPr>
        <w:t>。</w:t>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Style w:val="54"/>
          <w:rFonts w:hint="eastAsia" w:ascii="宋体" w:hAnsi="宋体" w:cs="宋体"/>
          <w:color w:val="000000" w:themeColor="text1"/>
          <w:sz w:val="24"/>
          <w:highlight w:val="none"/>
          <w14:textFill>
            <w14:solidFill>
              <w14:schemeClr w14:val="tx1"/>
            </w14:solidFill>
          </w14:textFill>
        </w:rPr>
        <w:t xml:space="preserve">甲方办理的“公路安全设施分项二级、公路机电工程分项二级”资质任何一项在该资质审批的相关官方网站公告显示通过后，甲方应在 3 </w:t>
      </w:r>
      <w:r>
        <w:rPr>
          <w:rStyle w:val="54"/>
          <w:rFonts w:hint="eastAsia" w:ascii="宋体" w:hAnsi="宋体" w:cs="宋体"/>
          <w:color w:val="000000" w:themeColor="text1"/>
          <w:sz w:val="24"/>
          <w:highlight w:val="none"/>
          <w:lang w:val="zh-CN"/>
          <w14:textFill>
            <w14:solidFill>
              <w14:schemeClr w14:val="tx1"/>
            </w14:solidFill>
          </w14:textFill>
        </w:rPr>
        <w:t>个工作日内</w:t>
      </w:r>
      <w:r>
        <w:rPr>
          <w:rStyle w:val="54"/>
          <w:rFonts w:hint="eastAsia" w:ascii="宋体" w:hAnsi="宋体" w:cs="宋体"/>
          <w:color w:val="000000" w:themeColor="text1"/>
          <w:sz w:val="24"/>
          <w:highlight w:val="none"/>
          <w14:textFill>
            <w14:solidFill>
              <w14:schemeClr w14:val="tx1"/>
            </w14:solidFill>
          </w14:textFill>
        </w:rPr>
        <w:t>支付乙方合同进度款，即合同总价17%的费用，</w:t>
      </w:r>
      <w:r>
        <w:rPr>
          <w:rStyle w:val="54"/>
          <w:rFonts w:hint="eastAsia" w:ascii="宋体" w:hAnsi="宋体" w:cs="宋体"/>
          <w:color w:val="000000" w:themeColor="text1"/>
          <w:sz w:val="24"/>
          <w:highlight w:val="none"/>
          <w:u w:val="single"/>
          <w:lang w:val="zh-CN"/>
          <w14:textFill>
            <w14:solidFill>
              <w14:schemeClr w14:val="tx1"/>
            </w14:solidFill>
          </w14:textFill>
        </w:rPr>
        <w:t>￥</w:t>
      </w:r>
      <w:r>
        <w:rPr>
          <w:rStyle w:val="54"/>
          <w:rFonts w:hint="eastAsia" w:ascii="宋体" w:hAnsi="宋体" w:cs="宋体"/>
          <w:color w:val="000000" w:themeColor="text1"/>
          <w:sz w:val="24"/>
          <w:highlight w:val="none"/>
          <w:u w:val="single"/>
          <w14:textFill>
            <w14:solidFill>
              <w14:schemeClr w14:val="tx1"/>
            </w14:solidFill>
          </w14:textFill>
        </w:rPr>
        <w:t xml:space="preserve">       </w:t>
      </w:r>
      <w:r>
        <w:rPr>
          <w:rStyle w:val="54"/>
          <w:rFonts w:hint="eastAsia" w:ascii="宋体" w:hAnsi="宋体" w:cs="宋体"/>
          <w:color w:val="000000" w:themeColor="text1"/>
          <w:sz w:val="24"/>
          <w:highlight w:val="none"/>
          <w:u w:val="single"/>
          <w:lang w:val="zh-CN"/>
          <w14:textFill>
            <w14:solidFill>
              <w14:schemeClr w14:val="tx1"/>
            </w14:solidFill>
          </w14:textFill>
        </w:rPr>
        <w:t>（大写：</w:t>
      </w:r>
      <w:r>
        <w:rPr>
          <w:rStyle w:val="54"/>
          <w:rFonts w:hint="eastAsia" w:ascii="宋体" w:hAnsi="宋体" w:cs="宋体"/>
          <w:color w:val="000000" w:themeColor="text1"/>
          <w:sz w:val="24"/>
          <w:highlight w:val="none"/>
          <w:u w:val="single"/>
          <w14:textFill>
            <w14:solidFill>
              <w14:schemeClr w14:val="tx1"/>
            </w14:solidFill>
          </w14:textFill>
        </w:rPr>
        <w:t xml:space="preserve">         </w:t>
      </w:r>
      <w:r>
        <w:rPr>
          <w:rStyle w:val="54"/>
          <w:rFonts w:hint="eastAsia" w:ascii="宋体" w:hAnsi="宋体" w:cs="宋体"/>
          <w:color w:val="000000" w:themeColor="text1"/>
          <w:sz w:val="24"/>
          <w:highlight w:val="none"/>
          <w:lang w:val="zh-CN"/>
          <w14:textFill>
            <w14:solidFill>
              <w14:schemeClr w14:val="tx1"/>
            </w14:solidFill>
          </w14:textFill>
        </w:rPr>
        <w:t>）。</w:t>
      </w:r>
    </w:p>
    <w:p>
      <w:pPr>
        <w:widowControl/>
        <w:spacing w:line="360" w:lineRule="auto"/>
        <w:ind w:firstLine="480" w:firstLineChars="200"/>
        <w:textAlignment w:val="baseline"/>
        <w:rPr>
          <w:rStyle w:val="54"/>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r>
        <w:rPr>
          <w:rStyle w:val="54"/>
          <w:rFonts w:hint="eastAsia" w:ascii="宋体" w:hAnsi="宋体" w:cs="宋体"/>
          <w:color w:val="000000" w:themeColor="text1"/>
          <w:sz w:val="24"/>
          <w:highlight w:val="none"/>
          <w:lang w:val="zh-CN"/>
          <w14:textFill>
            <w14:solidFill>
              <w14:schemeClr w14:val="tx1"/>
            </w14:solidFill>
          </w14:textFill>
        </w:rPr>
        <w:t>甲方办理的</w:t>
      </w:r>
      <w:r>
        <w:rPr>
          <w:rStyle w:val="54"/>
          <w:rFonts w:hint="eastAsia" w:ascii="宋体" w:hAnsi="宋体" w:cs="宋体"/>
          <w:color w:val="000000" w:themeColor="text1"/>
          <w:sz w:val="24"/>
          <w:highlight w:val="none"/>
          <w14:textFill>
            <w14:solidFill>
              <w14:schemeClr w14:val="tx1"/>
            </w14:solidFill>
          </w14:textFill>
        </w:rPr>
        <w:t>“公路安全设施分项二级”“公路机电工程分项二级”</w:t>
      </w:r>
      <w:r>
        <w:rPr>
          <w:rStyle w:val="54"/>
          <w:rFonts w:hint="eastAsia" w:ascii="宋体" w:hAnsi="宋体" w:cs="宋体"/>
          <w:color w:val="000000" w:themeColor="text1"/>
          <w:sz w:val="24"/>
          <w:highlight w:val="none"/>
          <w:lang w:val="zh-CN"/>
          <w14:textFill>
            <w14:solidFill>
              <w14:schemeClr w14:val="tx1"/>
            </w14:solidFill>
          </w14:textFill>
        </w:rPr>
        <w:t>“安全生产许可证”资质办结后（以显示电子证为准），甲方应在3个工作日内支付合同尾款，</w:t>
      </w:r>
      <w:r>
        <w:rPr>
          <w:rStyle w:val="54"/>
          <w:rFonts w:hint="eastAsia" w:ascii="宋体" w:hAnsi="宋体" w:cs="宋体"/>
          <w:color w:val="000000" w:themeColor="text1"/>
          <w:sz w:val="24"/>
          <w:highlight w:val="none"/>
          <w14:textFill>
            <w14:solidFill>
              <w14:schemeClr w14:val="tx1"/>
            </w14:solidFill>
          </w14:textFill>
        </w:rPr>
        <w:t>即合同总价8%的费用，</w:t>
      </w:r>
      <w:r>
        <w:rPr>
          <w:rStyle w:val="54"/>
          <w:rFonts w:hint="eastAsia" w:ascii="宋体" w:hAnsi="宋体" w:cs="宋体"/>
          <w:color w:val="000000" w:themeColor="text1"/>
          <w:sz w:val="24"/>
          <w:highlight w:val="none"/>
          <w:u w:val="single"/>
          <w:lang w:val="zh-CN"/>
          <w14:textFill>
            <w14:solidFill>
              <w14:schemeClr w14:val="tx1"/>
            </w14:solidFill>
          </w14:textFill>
        </w:rPr>
        <w:t>￥</w:t>
      </w:r>
      <w:r>
        <w:rPr>
          <w:rStyle w:val="54"/>
          <w:rFonts w:hint="eastAsia" w:ascii="宋体" w:hAnsi="宋体" w:cs="宋体"/>
          <w:color w:val="000000" w:themeColor="text1"/>
          <w:sz w:val="24"/>
          <w:highlight w:val="none"/>
          <w:u w:val="single"/>
          <w14:textFill>
            <w14:solidFill>
              <w14:schemeClr w14:val="tx1"/>
            </w14:solidFill>
          </w14:textFill>
        </w:rPr>
        <w:t xml:space="preserve">       </w:t>
      </w:r>
      <w:r>
        <w:rPr>
          <w:rStyle w:val="54"/>
          <w:rFonts w:hint="eastAsia" w:ascii="宋体" w:hAnsi="宋体" w:cs="宋体"/>
          <w:color w:val="000000" w:themeColor="text1"/>
          <w:sz w:val="24"/>
          <w:highlight w:val="none"/>
          <w:u w:val="single"/>
          <w:lang w:val="zh-CN"/>
          <w14:textFill>
            <w14:solidFill>
              <w14:schemeClr w14:val="tx1"/>
            </w14:solidFill>
          </w14:textFill>
        </w:rPr>
        <w:t>（大写：</w:t>
      </w:r>
      <w:r>
        <w:rPr>
          <w:rStyle w:val="54"/>
          <w:rFonts w:hint="eastAsia" w:ascii="宋体" w:hAnsi="宋体" w:cs="宋体"/>
          <w:color w:val="000000" w:themeColor="text1"/>
          <w:sz w:val="24"/>
          <w:highlight w:val="none"/>
          <w:u w:val="single"/>
          <w14:textFill>
            <w14:solidFill>
              <w14:schemeClr w14:val="tx1"/>
            </w14:solidFill>
          </w14:textFill>
        </w:rPr>
        <w:t xml:space="preserve">         </w:t>
      </w:r>
      <w:r>
        <w:rPr>
          <w:rStyle w:val="54"/>
          <w:rFonts w:hint="eastAsia" w:ascii="宋体" w:hAnsi="宋体" w:cs="宋体"/>
          <w:color w:val="000000" w:themeColor="text1"/>
          <w:sz w:val="24"/>
          <w:highlight w:val="none"/>
          <w:lang w:val="zh-CN"/>
          <w14:textFill>
            <w14:solidFill>
              <w14:schemeClr w14:val="tx1"/>
            </w14:solidFill>
          </w14:textFill>
        </w:rPr>
        <w:t>）。</w:t>
      </w:r>
    </w:p>
    <w:p>
      <w:pPr>
        <w:widowControl/>
        <w:tabs>
          <w:tab w:val="left" w:pos="1499"/>
        </w:tabs>
        <w:spacing w:line="360" w:lineRule="auto"/>
        <w:ind w:firstLine="480" w:firstLineChars="200"/>
        <w:textAlignment w:val="baseline"/>
        <w:rPr>
          <w:rStyle w:val="54"/>
          <w:rFonts w:ascii="宋体" w:hAnsi="宋体" w:cs="宋体"/>
          <w:b/>
          <w:color w:val="000000" w:themeColor="text1"/>
          <w:sz w:val="24"/>
          <w:highlight w:val="none"/>
          <w14:textFill>
            <w14:solidFill>
              <w14:schemeClr w14:val="tx1"/>
            </w14:solidFill>
          </w14:textFill>
        </w:rPr>
      </w:pPr>
      <w:r>
        <w:rPr>
          <w:rStyle w:val="54"/>
          <w:rFonts w:hint="eastAsia" w:ascii="宋体" w:hAnsi="宋体" w:cs="宋体"/>
          <w:b/>
          <w:color w:val="000000" w:themeColor="text1"/>
          <w:sz w:val="24"/>
          <w:highlight w:val="none"/>
          <w14:textFill>
            <w14:solidFill>
              <w14:schemeClr w14:val="tx1"/>
            </w14:solidFill>
          </w14:textFill>
        </w:rPr>
        <w:t>（1）乙方指定账户为：</w:t>
      </w:r>
    </w:p>
    <w:p>
      <w:pPr>
        <w:widowControl/>
        <w:spacing w:line="360" w:lineRule="auto"/>
        <w:ind w:firstLine="480" w:firstLineChars="200"/>
        <w:textAlignment w:val="baseline"/>
        <w:rPr>
          <w:rStyle w:val="54"/>
          <w:rFonts w:ascii="宋体" w:hAnsi="宋体" w:cs="宋体"/>
          <w:bCs/>
          <w:color w:val="000000" w:themeColor="text1"/>
          <w:sz w:val="24"/>
          <w:highlight w:val="none"/>
          <w14:textFill>
            <w14:solidFill>
              <w14:schemeClr w14:val="tx1"/>
            </w14:solidFill>
          </w14:textFill>
        </w:rPr>
      </w:pPr>
      <w:r>
        <w:rPr>
          <w:rStyle w:val="54"/>
          <w:rFonts w:hint="eastAsia" w:ascii="宋体" w:hAnsi="宋体" w:cs="宋体"/>
          <w:bCs/>
          <w:color w:val="000000" w:themeColor="text1"/>
          <w:sz w:val="24"/>
          <w:highlight w:val="none"/>
          <w14:textFill>
            <w14:solidFill>
              <w14:schemeClr w14:val="tx1"/>
            </w14:solidFill>
          </w14:textFill>
        </w:rPr>
        <w:t>账号：</w:t>
      </w:r>
    </w:p>
    <w:p>
      <w:pPr>
        <w:widowControl/>
        <w:spacing w:line="360" w:lineRule="auto"/>
        <w:ind w:firstLine="480" w:firstLineChars="200"/>
        <w:textAlignment w:val="baseline"/>
        <w:rPr>
          <w:rFonts w:ascii="宋体" w:hAnsi="宋体" w:cs="宋体"/>
          <w:bCs/>
          <w:color w:val="000000" w:themeColor="text1"/>
          <w:sz w:val="24"/>
          <w:highlight w:val="none"/>
          <w14:textFill>
            <w14:solidFill>
              <w14:schemeClr w14:val="tx1"/>
            </w14:solidFill>
          </w14:textFill>
        </w:rPr>
      </w:pPr>
      <w:r>
        <w:rPr>
          <w:rStyle w:val="54"/>
          <w:rFonts w:hint="eastAsia" w:ascii="宋体" w:hAnsi="宋体" w:cs="宋体"/>
          <w:bCs/>
          <w:color w:val="000000" w:themeColor="text1"/>
          <w:sz w:val="24"/>
          <w:highlight w:val="none"/>
          <w14:textFill>
            <w14:solidFill>
              <w14:schemeClr w14:val="tx1"/>
            </w14:solidFill>
          </w14:textFill>
        </w:rPr>
        <w:t>户名：</w:t>
      </w:r>
    </w:p>
    <w:p>
      <w:pPr>
        <w:widowControl/>
        <w:spacing w:line="360" w:lineRule="auto"/>
        <w:ind w:firstLine="480" w:firstLineChars="200"/>
        <w:textAlignment w:val="baseline"/>
        <w:rPr>
          <w:rFonts w:ascii="宋体" w:hAnsi="宋体" w:cs="宋体"/>
          <w:bCs/>
          <w:color w:val="000000" w:themeColor="text1"/>
          <w:sz w:val="24"/>
          <w:highlight w:val="none"/>
          <w14:textFill>
            <w14:solidFill>
              <w14:schemeClr w14:val="tx1"/>
            </w14:solidFill>
          </w14:textFill>
        </w:rPr>
      </w:pPr>
      <w:r>
        <w:rPr>
          <w:rStyle w:val="54"/>
          <w:rFonts w:hint="eastAsia" w:ascii="宋体" w:hAnsi="宋体" w:cs="宋体"/>
          <w:bCs/>
          <w:color w:val="000000" w:themeColor="text1"/>
          <w:sz w:val="24"/>
          <w:highlight w:val="none"/>
          <w14:textFill>
            <w14:solidFill>
              <w14:schemeClr w14:val="tx1"/>
            </w14:solidFill>
          </w14:textFill>
        </w:rPr>
        <w:t>所属网点：</w:t>
      </w:r>
    </w:p>
    <w:p>
      <w:pPr>
        <w:widowControl/>
        <w:spacing w:line="360" w:lineRule="auto"/>
        <w:ind w:firstLine="480" w:firstLineChars="200"/>
        <w:textAlignment w:val="baseline"/>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（2）乙方提供增值税专用发票给甲方，票面税率</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widowControl/>
        <w:spacing w:line="360" w:lineRule="auto"/>
        <w:ind w:firstLine="480" w:firstLineChars="200"/>
        <w:textAlignment w:val="baseline"/>
        <w:rPr>
          <w:rStyle w:val="54"/>
          <w:rFonts w:ascii="宋体" w:hAnsi="宋体" w:cs="宋体"/>
          <w:b/>
          <w:color w:val="000000" w:themeColor="text1"/>
          <w:sz w:val="24"/>
          <w:highlight w:val="none"/>
          <w14:textFill>
            <w14:solidFill>
              <w14:schemeClr w14:val="tx1"/>
            </w14:solidFill>
          </w14:textFill>
        </w:rPr>
      </w:pPr>
      <w:r>
        <w:rPr>
          <w:rStyle w:val="54"/>
          <w:rFonts w:hint="eastAsia" w:ascii="宋体" w:hAnsi="宋体" w:cs="宋体"/>
          <w:b/>
          <w:color w:val="000000" w:themeColor="text1"/>
          <w:sz w:val="24"/>
          <w:highlight w:val="none"/>
          <w14:textFill>
            <w14:solidFill>
              <w14:schemeClr w14:val="tx1"/>
            </w14:solidFill>
          </w14:textFill>
        </w:rPr>
        <w:t>第四条 其它事项</w:t>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1、甲、乙双方合同有争议时应由双方协商解决，协商无果时，</w:t>
      </w:r>
      <w:r>
        <w:rPr>
          <w:rFonts w:ascii="宋体" w:hAnsi="宋体" w:cs="宋体"/>
          <w:color w:val="000000" w:themeColor="text1"/>
          <w:sz w:val="24"/>
          <w:highlight w:val="none"/>
          <w14:textFill>
            <w14:solidFill>
              <w14:schemeClr w14:val="tx1"/>
            </w14:solidFill>
          </w14:textFill>
        </w:rPr>
        <w:t>任意一方均可向</w:t>
      </w:r>
      <w:r>
        <w:rPr>
          <w:rFonts w:hint="eastAsia" w:ascii="宋体" w:hAnsi="宋体" w:cs="宋体"/>
          <w:color w:val="000000" w:themeColor="text1"/>
          <w:sz w:val="24"/>
          <w:highlight w:val="none"/>
          <w14:textFill>
            <w14:solidFill>
              <w14:schemeClr w14:val="tx1"/>
            </w14:solidFill>
          </w14:textFill>
        </w:rPr>
        <w:t>甲方</w:t>
      </w:r>
      <w:r>
        <w:rPr>
          <w:rFonts w:ascii="宋体" w:hAnsi="宋体" w:cs="宋体"/>
          <w:color w:val="000000" w:themeColor="text1"/>
          <w:sz w:val="24"/>
          <w:highlight w:val="none"/>
          <w14:textFill>
            <w14:solidFill>
              <w14:schemeClr w14:val="tx1"/>
            </w14:solidFill>
          </w14:textFill>
        </w:rPr>
        <w:t>所在地的人民法院提起诉讼</w:t>
      </w:r>
      <w:r>
        <w:rPr>
          <w:rStyle w:val="54"/>
          <w:rFonts w:hint="eastAsia" w:ascii="宋体" w:hAnsi="宋体" w:cs="宋体"/>
          <w:color w:val="000000" w:themeColor="text1"/>
          <w:sz w:val="24"/>
          <w:highlight w:val="none"/>
          <w14:textFill>
            <w14:solidFill>
              <w14:schemeClr w14:val="tx1"/>
            </w14:solidFill>
          </w14:textFill>
        </w:rPr>
        <w:t>。因此产生的诉讼费、保全保险费、保全费、律师费等费用概由败诉方承担。</w:t>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2、为了方便异地签约，甲乙双方通过传真、扫描等数据电文方式签订的合同、确认函与面签签订的合同、确认函具有同等的法律效力。</w:t>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3、若甲方拒绝聘用乙方推荐的持证人，而在12个月内又重新聘用乙方曾经推荐的持证人时，视为乙方已完成委托的猎聘服务工作，甲方需向乙方支付相应服务费。</w:t>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4、若甲方所申报的公路安全设施分项二级、公路机电工程分项二级资质，其中一项公告不通过，乙方将继续为甲方提供办理</w:t>
      </w:r>
      <w:r>
        <w:rPr>
          <w:rStyle w:val="54"/>
          <w:rFonts w:hint="eastAsia" w:ascii="宋体" w:hAnsi="宋体" w:cs="宋体"/>
          <w:color w:val="000000" w:themeColor="text1"/>
          <w:sz w:val="24"/>
          <w:highlight w:val="none"/>
          <w:lang w:val="zh-CN"/>
          <w14:textFill>
            <w14:solidFill>
              <w14:schemeClr w14:val="tx1"/>
            </w14:solidFill>
          </w14:textFill>
        </w:rPr>
        <w:t>“安全生产许可证”</w:t>
      </w:r>
      <w:r>
        <w:rPr>
          <w:rStyle w:val="54"/>
          <w:rFonts w:hint="eastAsia" w:ascii="宋体" w:hAnsi="宋体" w:cs="宋体"/>
          <w:color w:val="000000" w:themeColor="text1"/>
          <w:sz w:val="24"/>
          <w:highlight w:val="none"/>
          <w14:textFill>
            <w14:solidFill>
              <w14:schemeClr w14:val="tx1"/>
            </w14:solidFill>
          </w14:textFill>
        </w:rPr>
        <w:t>人才猎聘服务，无需向甲方退还已收到款项，但第三笔8%的合同尾款甲方无须再支付给乙方</w:t>
      </w:r>
      <w:r>
        <w:rPr>
          <w:rStyle w:val="54"/>
          <w:rFonts w:hint="eastAsia" w:ascii="宋体" w:hAnsi="宋体" w:cs="宋体"/>
          <w:color w:val="000000" w:themeColor="text1"/>
          <w:sz w:val="24"/>
          <w:highlight w:val="none"/>
          <w:lang w:val="zh-CN"/>
          <w14:textFill>
            <w14:solidFill>
              <w14:schemeClr w14:val="tx1"/>
            </w14:solidFill>
          </w14:textFill>
        </w:rPr>
        <w:t>；</w:t>
      </w:r>
      <w:r>
        <w:rPr>
          <w:rStyle w:val="54"/>
          <w:rFonts w:hint="eastAsia" w:ascii="宋体" w:hAnsi="宋体" w:cs="宋体"/>
          <w:color w:val="000000" w:themeColor="text1"/>
          <w:sz w:val="24"/>
          <w:highlight w:val="none"/>
          <w14:textFill>
            <w14:solidFill>
              <w14:schemeClr w14:val="tx1"/>
            </w14:solidFill>
          </w14:textFill>
        </w:rPr>
        <w:t>若两项均未通过，则乙方需将甲方所支付的全部款项在收到甲方退款通知之日起7个工作日内按原路予以退还。</w:t>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6、乙方向甲方提供申报资质期间的猎聘人员的人事代理服务，包括但不限于缴纳社保社保、支付工资、代扣代缴税费等服务，相关费用已包含中本合同价款中，甲方不再另外支付。</w:t>
      </w:r>
    </w:p>
    <w:p>
      <w:pPr>
        <w:widowControl/>
        <w:spacing w:line="360" w:lineRule="auto"/>
        <w:ind w:firstLine="480" w:firstLineChars="200"/>
        <w:textAlignment w:val="baseline"/>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7.本委托合同至双方法定代表人（或委托代理人）签字并加盖公章后生效，一式四份，甲方持三份，乙方持一份。</w:t>
      </w:r>
    </w:p>
    <w:p>
      <w:pPr>
        <w:pStyle w:val="14"/>
        <w:adjustRightInd/>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（以下无正文）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tabs>
          <w:tab w:val="left" w:pos="1499"/>
        </w:tabs>
        <w:spacing w:line="360" w:lineRule="auto"/>
        <w:ind w:firstLine="480" w:firstLineChars="200"/>
        <w:rPr>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甲方（盖章）：                        乙方（盖章）：</w:t>
      </w:r>
    </w:p>
    <w:p>
      <w:pPr>
        <w:tabs>
          <w:tab w:val="left" w:pos="1499"/>
        </w:tabs>
        <w:spacing w:line="360" w:lineRule="auto"/>
        <w:ind w:firstLine="480" w:firstLineChars="200"/>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 xml:space="preserve">授权代理人：                         授权代理人：                       </w:t>
      </w:r>
    </w:p>
    <w:p>
      <w:pPr>
        <w:tabs>
          <w:tab w:val="left" w:pos="1499"/>
        </w:tabs>
        <w:spacing w:line="360" w:lineRule="auto"/>
        <w:ind w:firstLine="480" w:firstLineChars="200"/>
        <w:rPr>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代理人身份证                         代理人身份证</w:t>
      </w:r>
    </w:p>
    <w:p>
      <w:pPr>
        <w:tabs>
          <w:tab w:val="left" w:pos="1499"/>
        </w:tabs>
        <w:spacing w:line="360" w:lineRule="auto"/>
        <w:ind w:firstLine="480" w:firstLineChars="200"/>
        <w:rPr>
          <w:rStyle w:val="54"/>
          <w:rFonts w:ascii="宋体" w:hAnsi="宋体" w:cs="宋体"/>
          <w:color w:val="000000" w:themeColor="text1"/>
          <w:sz w:val="24"/>
          <w:highlight w:val="none"/>
          <w14:textFill>
            <w14:solidFill>
              <w14:schemeClr w14:val="tx1"/>
            </w14:solidFill>
          </w14:textFill>
        </w:rPr>
      </w:pPr>
      <w:r>
        <w:rPr>
          <w:rStyle w:val="54"/>
          <w:rFonts w:hint="eastAsia" w:ascii="宋体" w:hAnsi="宋体" w:cs="宋体"/>
          <w:color w:val="000000" w:themeColor="text1"/>
          <w:sz w:val="24"/>
          <w:highlight w:val="none"/>
          <w14:textFill>
            <w14:solidFill>
              <w14:schemeClr w14:val="tx1"/>
            </w14:solidFill>
          </w14:textFill>
        </w:rPr>
        <w:t>签协议时间：                         签协议时间：</w:t>
      </w:r>
    </w:p>
    <w:p>
      <w:pPr>
        <w:spacing w:line="360" w:lineRule="auto"/>
        <w:ind w:firstLine="480" w:firstLineChars="200"/>
        <w:rPr>
          <w:rFonts w:ascii="宋体" w:hAnsi="宋体" w:cs="宋体"/>
          <w:sz w:val="24"/>
          <w:highlight w:val="none"/>
        </w:rPr>
      </w:pPr>
    </w:p>
    <w:p>
      <w:pPr>
        <w:spacing w:line="360" w:lineRule="auto"/>
        <w:ind w:firstLine="420" w:firstLineChars="200"/>
        <w:rPr>
          <w:highlight w:val="none"/>
        </w:rPr>
      </w:pPr>
      <w:bookmarkStart w:id="271" w:name="_Toc32280"/>
      <w:bookmarkStart w:id="272" w:name="_Toc1897"/>
      <w:bookmarkStart w:id="273" w:name="_Toc20710"/>
      <w:bookmarkStart w:id="274" w:name="_Toc471482369"/>
      <w:bookmarkStart w:id="275" w:name="_Toc15172"/>
      <w:bookmarkStart w:id="276" w:name="_Toc24668"/>
      <w:bookmarkStart w:id="277" w:name="_Toc16386"/>
      <w:bookmarkStart w:id="278" w:name="_Toc29471"/>
      <w:bookmarkStart w:id="279" w:name="_Toc461525321"/>
      <w:bookmarkStart w:id="280" w:name="_Toc27378"/>
      <w:bookmarkStart w:id="281" w:name="_Toc23661"/>
      <w:bookmarkStart w:id="282" w:name="_Toc6779"/>
      <w:bookmarkStart w:id="283" w:name="_Toc26692"/>
      <w:r>
        <w:rPr>
          <w:rFonts w:ascii="宋体" w:hAnsi="宋体" w:cs="宋体"/>
          <w:color w:val="000000" w:themeColor="text1"/>
          <w:szCs w:val="28"/>
          <w:highlight w:val="none"/>
          <w14:textFill>
            <w14:solidFill>
              <w14:schemeClr w14:val="tx1"/>
            </w14:solidFill>
          </w14:textFill>
        </w:rPr>
        <w:br w:type="page"/>
      </w:r>
    </w:p>
    <w:p>
      <w:pPr>
        <w:pStyle w:val="2"/>
        <w:numPr>
          <w:ilvl w:val="255"/>
          <w:numId w:val="0"/>
        </w:numPr>
        <w:spacing w:before="0" w:after="0" w:line="360" w:lineRule="auto"/>
        <w:rPr>
          <w:rFonts w:ascii="宋体" w:hAnsi="宋体" w:cs="宋体"/>
          <w:color w:val="000000" w:themeColor="text1"/>
          <w:szCs w:val="28"/>
          <w:highlight w:val="none"/>
          <w14:textFill>
            <w14:solidFill>
              <w14:schemeClr w14:val="tx1"/>
            </w14:solidFill>
          </w14:textFill>
        </w:rPr>
      </w:pPr>
      <w:bookmarkStart w:id="284" w:name="_Toc30069"/>
      <w:bookmarkStart w:id="285" w:name="_Toc13379"/>
      <w:bookmarkStart w:id="286" w:name="_Toc4243"/>
      <w:bookmarkStart w:id="287" w:name="_Toc31202"/>
      <w:bookmarkStart w:id="288" w:name="_Toc13112"/>
      <w:bookmarkStart w:id="289" w:name="_Toc21912"/>
      <w:r>
        <w:rPr>
          <w:rFonts w:hint="eastAsia" w:ascii="宋体" w:hAnsi="宋体" w:cs="宋体"/>
          <w:color w:val="000000" w:themeColor="text1"/>
          <w:szCs w:val="28"/>
          <w:highlight w:val="none"/>
          <w14:textFill>
            <w14:solidFill>
              <w14:schemeClr w14:val="tx1"/>
            </w14:solidFill>
          </w14:textFill>
        </w:rPr>
        <w:t>第三章 比选</w:t>
      </w:r>
      <w:bookmarkEnd w:id="269"/>
      <w:bookmarkEnd w:id="270"/>
      <w:r>
        <w:rPr>
          <w:rFonts w:hint="eastAsia" w:ascii="宋体" w:hAnsi="宋体" w:cs="宋体"/>
          <w:color w:val="000000" w:themeColor="text1"/>
          <w:szCs w:val="28"/>
          <w:highlight w:val="none"/>
          <w14:textFill>
            <w14:solidFill>
              <w14:schemeClr w14:val="tx1"/>
            </w14:solidFill>
          </w14:textFill>
        </w:rPr>
        <w:t>申请文件（格式）</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Start w:id="290" w:name="_Toc114052391"/>
    </w:p>
    <w:p>
      <w:pPr>
        <w:jc w:val="center"/>
        <w:rPr>
          <w:rFonts w:ascii="宋体" w:hAnsi="宋体" w:cs="宋体"/>
          <w:color w:val="000000" w:themeColor="text1"/>
          <w:szCs w:val="28"/>
          <w:highlight w:val="none"/>
          <w14:textFill>
            <w14:solidFill>
              <w14:schemeClr w14:val="tx1"/>
            </w14:solidFill>
          </w14:textFill>
        </w:rPr>
      </w:pPr>
    </w:p>
    <w:p>
      <w:pPr>
        <w:ind w:right="753"/>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（封面格式）</w:t>
      </w: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rPr>
          <w:rFonts w:ascii="宋体" w:hAnsi="宋体" w:cs="宋体"/>
          <w:color w:val="000000" w:themeColor="text1"/>
          <w:sz w:val="32"/>
          <w:szCs w:val="32"/>
          <w:highlight w:val="none"/>
          <w:u w:val="single"/>
          <w14:textFill>
            <w14:solidFill>
              <w14:schemeClr w14:val="tx1"/>
            </w14:solidFill>
          </w14:textFill>
        </w:rPr>
      </w:pPr>
    </w:p>
    <w:p>
      <w:pPr>
        <w:jc w:val="center"/>
        <w:rPr>
          <w:color w:val="000000" w:themeColor="text1"/>
          <w:sz w:val="52"/>
          <w:szCs w:val="52"/>
          <w:highlight w:val="none"/>
          <w14:textFill>
            <w14:solidFill>
              <w14:schemeClr w14:val="tx1"/>
            </w14:solidFill>
          </w14:textFill>
        </w:rPr>
      </w:pPr>
      <w:bookmarkStart w:id="291" w:name="_Toc10669"/>
      <w:bookmarkStart w:id="292" w:name="_Toc6045"/>
      <w:bookmarkStart w:id="293" w:name="_Toc16428"/>
      <w:bookmarkStart w:id="294" w:name="_Toc22529"/>
      <w:bookmarkStart w:id="295" w:name="_Toc18503"/>
      <w:bookmarkStart w:id="296" w:name="_Toc12677"/>
      <w:bookmarkStart w:id="297" w:name="_Toc24727"/>
      <w:bookmarkStart w:id="298" w:name="_Toc31417"/>
      <w:bookmarkStart w:id="299" w:name="_Toc461525322"/>
      <w:r>
        <w:rPr>
          <w:rFonts w:hint="eastAsia"/>
          <w:color w:val="000000" w:themeColor="text1"/>
          <w:sz w:val="52"/>
          <w:szCs w:val="52"/>
          <w:highlight w:val="none"/>
          <w14:textFill>
            <w14:solidFill>
              <w14:schemeClr w14:val="tx1"/>
            </w14:solidFill>
          </w14:textFill>
        </w:rPr>
        <w:t>资 格 审 查 部 分</w:t>
      </w:r>
      <w:bookmarkEnd w:id="291"/>
      <w:bookmarkEnd w:id="292"/>
      <w:bookmarkEnd w:id="293"/>
      <w:bookmarkEnd w:id="294"/>
      <w:bookmarkEnd w:id="295"/>
      <w:bookmarkEnd w:id="296"/>
      <w:bookmarkEnd w:id="297"/>
      <w:bookmarkEnd w:id="298"/>
      <w:bookmarkEnd w:id="299"/>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项目名称：</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比选申</w:t>
      </w:r>
      <w:bookmarkEnd w:id="290"/>
      <w:r>
        <w:rPr>
          <w:rFonts w:hint="eastAsia" w:ascii="宋体" w:hAnsi="宋体" w:cs="宋体"/>
          <w:color w:val="000000" w:themeColor="text1"/>
          <w:sz w:val="28"/>
          <w:szCs w:val="28"/>
          <w:highlight w:val="none"/>
          <w14:textFill>
            <w14:solidFill>
              <w14:schemeClr w14:val="tx1"/>
            </w14:solidFill>
          </w14:textFill>
        </w:rPr>
        <w:t>请</w:t>
      </w:r>
      <w:bookmarkStart w:id="300" w:name="_Toc114052392"/>
      <w:r>
        <w:rPr>
          <w:rFonts w:hint="eastAsia" w:ascii="宋体" w:hAnsi="宋体" w:cs="宋体"/>
          <w:color w:val="000000" w:themeColor="text1"/>
          <w:sz w:val="28"/>
          <w:szCs w:val="28"/>
          <w:highlight w:val="none"/>
          <w14:textFill>
            <w14:solidFill>
              <w14:schemeClr w14:val="tx1"/>
            </w14:solidFill>
          </w14:textFill>
        </w:rPr>
        <w:t>人：</w:t>
      </w:r>
      <w:bookmarkEnd w:id="300"/>
      <w:r>
        <w:rPr>
          <w:rFonts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（盖公司公章）</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法定代表人或委托代</w:t>
      </w:r>
      <w:bookmarkStart w:id="301" w:name="_Toc333307122"/>
      <w:r>
        <w:rPr>
          <w:rFonts w:hint="eastAsia" w:ascii="宋体" w:hAnsi="宋体" w:cs="宋体"/>
          <w:color w:val="000000" w:themeColor="text1"/>
          <w:sz w:val="28"/>
          <w:szCs w:val="28"/>
          <w:highlight w:val="none"/>
          <w14:textFill>
            <w14:solidFill>
              <w14:schemeClr w14:val="tx1"/>
            </w14:solidFill>
          </w14:textFill>
        </w:rPr>
        <w:t>理人</w:t>
      </w:r>
      <w:bookmarkEnd w:id="301"/>
      <w:r>
        <w:rPr>
          <w:rFonts w:hint="eastAsia" w:ascii="宋体" w:hAns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（签字或盖章）</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电话/传真：</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地址：</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ind w:right="753"/>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年  月  日</w:t>
      </w:r>
    </w:p>
    <w:p>
      <w:pPr>
        <w:ind w:right="753"/>
        <w:jc w:val="left"/>
        <w:rPr>
          <w:rFonts w:ascii="宋体" w:hAnsi="宋体" w:cs="宋体"/>
          <w:color w:val="000000" w:themeColor="text1"/>
          <w:sz w:val="28"/>
          <w:szCs w:val="28"/>
          <w:highlight w:val="none"/>
          <w14:textFill>
            <w14:solidFill>
              <w14:schemeClr w14:val="tx1"/>
            </w14:solidFill>
          </w14:textFill>
        </w:rPr>
      </w:pPr>
    </w:p>
    <w:p>
      <w:pPr>
        <w:pStyle w:val="14"/>
        <w:rPr>
          <w:color w:val="000000" w:themeColor="text1"/>
          <w:highlight w:val="none"/>
          <w14:textFill>
            <w14:solidFill>
              <w14:schemeClr w14:val="tx1"/>
            </w14:solidFill>
          </w14:textFill>
        </w:rPr>
      </w:pPr>
      <w:bookmarkStart w:id="302" w:name="_Toc461525323"/>
      <w:bookmarkStart w:id="303" w:name="_Toc7849"/>
    </w:p>
    <w:p>
      <w:pPr>
        <w:jc w:val="left"/>
        <w:rPr>
          <w:rFonts w:ascii="Arial" w:hAnsi="Arial"/>
          <w:color w:val="000000" w:themeColor="text1"/>
          <w:kern w:val="0"/>
          <w:sz w:val="28"/>
          <w:szCs w:val="20"/>
          <w:highlight w:val="none"/>
          <w14:textFill>
            <w14:solidFill>
              <w14:schemeClr w14:val="tx1"/>
            </w14:solidFill>
          </w14:textFill>
        </w:rPr>
      </w:pPr>
      <w:bookmarkStart w:id="304" w:name="_Toc13409"/>
      <w:bookmarkStart w:id="305" w:name="_Toc7031"/>
      <w:bookmarkStart w:id="306" w:name="_Toc16191"/>
      <w:bookmarkStart w:id="307" w:name="_Toc13042"/>
      <w:bookmarkStart w:id="308" w:name="_Toc24695"/>
      <w:bookmarkStart w:id="309" w:name="_Toc28967"/>
      <w:bookmarkStart w:id="310" w:name="_Toc17090"/>
      <w:bookmarkStart w:id="311" w:name="_Toc7514"/>
      <w:bookmarkStart w:id="312" w:name="_Toc471482370"/>
      <w:bookmarkStart w:id="313" w:name="_Toc29495"/>
      <w:r>
        <w:rPr>
          <w:rFonts w:hint="eastAsia" w:ascii="Arial" w:hAnsi="Arial"/>
          <w:color w:val="000000" w:themeColor="text1"/>
          <w:kern w:val="0"/>
          <w:sz w:val="28"/>
          <w:szCs w:val="20"/>
          <w:highlight w:val="none"/>
          <w14:textFill>
            <w14:solidFill>
              <w14:schemeClr w14:val="tx1"/>
            </w14:solidFill>
          </w14:textFill>
        </w:rPr>
        <w:br w:type="page"/>
      </w:r>
    </w:p>
    <w:p>
      <w:pPr>
        <w:pStyle w:val="4"/>
        <w:spacing w:before="0" w:after="0" w:line="360" w:lineRule="auto"/>
        <w:jc w:val="center"/>
        <w:rPr>
          <w:b/>
          <w:color w:val="000000" w:themeColor="text1"/>
          <w:szCs w:val="28"/>
          <w:highlight w:val="none"/>
          <w14:textFill>
            <w14:solidFill>
              <w14:schemeClr w14:val="tx1"/>
            </w14:solidFill>
          </w14:textFill>
        </w:rPr>
      </w:pPr>
      <w:bookmarkStart w:id="314" w:name="_Toc15194"/>
      <w:bookmarkStart w:id="315" w:name="_Toc24222"/>
      <w:bookmarkStart w:id="316" w:name="_Toc2981"/>
      <w:bookmarkStart w:id="317" w:name="_Toc19770"/>
      <w:bookmarkStart w:id="318" w:name="_Toc12885"/>
      <w:r>
        <w:rPr>
          <w:rFonts w:hint="eastAsia"/>
          <w:b/>
          <w:color w:val="000000" w:themeColor="text1"/>
          <w:szCs w:val="28"/>
          <w:highlight w:val="none"/>
          <w14:textFill>
            <w14:solidFill>
              <w14:schemeClr w14:val="tx1"/>
            </w14:solidFill>
          </w14:textFill>
        </w:rPr>
        <w:t>一、资格审查文件目录</w:t>
      </w:r>
      <w:bookmarkEnd w:id="304"/>
      <w:bookmarkEnd w:id="314"/>
      <w:bookmarkEnd w:id="315"/>
      <w:bookmarkEnd w:id="316"/>
      <w:bookmarkEnd w:id="317"/>
      <w:bookmarkEnd w:id="318"/>
    </w:p>
    <w:p>
      <w:pPr>
        <w:ind w:firstLine="420" w:firstLineChars="200"/>
        <w:jc w:val="left"/>
        <w:rPr>
          <w:rFonts w:ascii="宋体" w:hAnsi="宋体" w:cs="宋体"/>
          <w:color w:val="000000" w:themeColor="text1"/>
          <w:szCs w:val="21"/>
          <w:highlight w:val="none"/>
          <w14:textFill>
            <w14:solidFill>
              <w14:schemeClr w14:val="tx1"/>
            </w14:solidFill>
          </w14:textFill>
        </w:rPr>
      </w:pP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1.诚信声明（原件）；</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比选函（原件）；</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公司营业执照（复印件加盖公司公章）；</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公司法定代表人身份证明（复印件加盖公司公章）；</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比选申请文件签署授权委托书（原件）</w:t>
      </w:r>
      <w:r>
        <w:rPr>
          <w:rFonts w:ascii="宋体" w:hAnsi="宋体" w:cs="宋体"/>
          <w:color w:val="000000" w:themeColor="text1"/>
          <w:szCs w:val="21"/>
          <w:highlight w:val="none"/>
          <w14:textFill>
            <w14:solidFill>
              <w14:schemeClr w14:val="tx1"/>
            </w14:solidFill>
          </w14:textFill>
        </w:rPr>
        <w:t>；</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授权代表人身份证（复印件加盖公司公章）；</w:t>
      </w:r>
    </w:p>
    <w:p>
      <w:pPr>
        <w:ind w:firstLine="420" w:firstLineChars="200"/>
        <w:jc w:val="left"/>
        <w:rPr>
          <w:rFonts w:ascii="宋体" w:hAnsi="宋体"/>
          <w:color w:val="000000"/>
          <w:szCs w:val="21"/>
          <w:highlight w:val="none"/>
        </w:rPr>
      </w:pPr>
      <w:r>
        <w:rPr>
          <w:rFonts w:hint="eastAsia" w:ascii="宋体" w:hAnsi="宋体" w:cs="宋体"/>
          <w:color w:val="000000" w:themeColor="text1"/>
          <w:szCs w:val="21"/>
          <w:highlight w:val="none"/>
          <w14:textFill>
            <w14:solidFill>
              <w14:schemeClr w14:val="tx1"/>
            </w14:solidFill>
          </w14:textFill>
        </w:rPr>
        <w:t>7.</w:t>
      </w:r>
      <w:r>
        <w:rPr>
          <w:rFonts w:hint="eastAsia" w:ascii="宋体" w:hAnsi="宋体"/>
          <w:color w:val="000000"/>
          <w:szCs w:val="21"/>
          <w:highlight w:val="none"/>
        </w:rPr>
        <w:t>在“信用中国”和“中国政府采购网”“中国执行信息公开网”网站查询记录</w:t>
      </w:r>
      <w:r>
        <w:rPr>
          <w:rFonts w:ascii="宋体" w:hAnsi="宋体" w:cs="宋体"/>
          <w:color w:val="000000" w:themeColor="text1"/>
          <w:szCs w:val="21"/>
          <w:highlight w:val="none"/>
          <w14:textFill>
            <w14:solidFill>
              <w14:schemeClr w14:val="tx1"/>
            </w14:solidFill>
          </w14:textFill>
        </w:rPr>
        <w:t>（复印件加盖公司公章）</w:t>
      </w:r>
      <w:r>
        <w:rPr>
          <w:rFonts w:hint="eastAsia" w:ascii="宋体" w:hAnsi="宋体"/>
          <w:color w:val="000000"/>
          <w:szCs w:val="21"/>
          <w:highlight w:val="none"/>
        </w:rPr>
        <w:t>；</w:t>
      </w:r>
    </w:p>
    <w:p>
      <w:pPr>
        <w:ind w:firstLine="420" w:firstLineChars="200"/>
        <w:jc w:val="left"/>
        <w:rPr>
          <w:rFonts w:ascii="宋体" w:hAnsi="宋体"/>
          <w:color w:val="000000"/>
          <w:szCs w:val="21"/>
          <w:highlight w:val="none"/>
        </w:rPr>
      </w:pPr>
      <w:r>
        <w:rPr>
          <w:rFonts w:hint="eastAsia" w:ascii="宋体" w:hAnsi="宋体"/>
          <w:color w:val="000000"/>
          <w:szCs w:val="21"/>
          <w:highlight w:val="none"/>
        </w:rPr>
        <w:t>8.其他。</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备注：以上材料均需加盖公司公章，并按照目录顺序编排，标注页码</w:t>
      </w:r>
    </w:p>
    <w:bookmarkEnd w:id="302"/>
    <w:bookmarkEnd w:id="303"/>
    <w:bookmarkEnd w:id="305"/>
    <w:bookmarkEnd w:id="306"/>
    <w:bookmarkEnd w:id="307"/>
    <w:bookmarkEnd w:id="308"/>
    <w:bookmarkEnd w:id="309"/>
    <w:bookmarkEnd w:id="310"/>
    <w:bookmarkEnd w:id="311"/>
    <w:bookmarkEnd w:id="312"/>
    <w:bookmarkEnd w:id="313"/>
    <w:p>
      <w:pPr>
        <w:ind w:right="753" w:firstLine="240" w:firstLineChars="100"/>
        <w:jc w:val="left"/>
        <w:rPr>
          <w:rFonts w:ascii="宋体" w:hAnsi="宋体" w:cs="宋体"/>
          <w:color w:val="000000" w:themeColor="text1"/>
          <w:sz w:val="24"/>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p>
    <w:p>
      <w:pPr>
        <w:spacing w:line="360" w:lineRule="auto"/>
        <w:jc w:val="left"/>
        <w:rPr>
          <w:rFonts w:ascii="宋体" w:hAnsi="宋体"/>
          <w:color w:val="000000" w:themeColor="text1"/>
          <w:highlight w:val="none"/>
          <w14:textFill>
            <w14:solidFill>
              <w14:schemeClr w14:val="tx1"/>
            </w14:solidFill>
          </w14:textFill>
        </w:rPr>
      </w:pPr>
      <w:bookmarkStart w:id="319" w:name="_Toc461525324"/>
      <w:bookmarkStart w:id="320" w:name="_Toc1582"/>
      <w:bookmarkStart w:id="321" w:name="_Toc27423"/>
      <w:r>
        <w:rPr>
          <w:color w:val="000000" w:themeColor="text1"/>
          <w:highlight w:val="none"/>
          <w14:textFill>
            <w14:solidFill>
              <w14:schemeClr w14:val="tx1"/>
            </w14:solidFill>
          </w14:textFill>
        </w:rPr>
        <w:br w:type="page"/>
      </w:r>
      <w:bookmarkEnd w:id="319"/>
      <w:bookmarkEnd w:id="320"/>
      <w:bookmarkEnd w:id="321"/>
      <w:bookmarkStart w:id="322" w:name="_Toc32325"/>
      <w:bookmarkStart w:id="323" w:name="_Toc30157"/>
      <w:bookmarkStart w:id="324" w:name="_Toc18804"/>
      <w:bookmarkStart w:id="325" w:name="_Toc461525329"/>
      <w:bookmarkStart w:id="326" w:name="_Toc15071"/>
      <w:bookmarkStart w:id="327" w:name="_Toc24466"/>
      <w:bookmarkStart w:id="328" w:name="_Toc29347"/>
      <w:bookmarkStart w:id="329" w:name="_Toc26924"/>
      <w:bookmarkStart w:id="330" w:name="_Toc14714"/>
      <w:bookmarkStart w:id="331" w:name="_Toc15465"/>
      <w:bookmarkStart w:id="332" w:name="_Toc17531"/>
      <w:bookmarkStart w:id="333" w:name="_Toc29655"/>
      <w:r>
        <w:rPr>
          <w:rFonts w:hint="eastAsia" w:ascii="宋体" w:hAnsi="宋体"/>
          <w:b/>
          <w:bCs/>
          <w:color w:val="000000" w:themeColor="text1"/>
          <w:sz w:val="28"/>
          <w:szCs w:val="28"/>
          <w:highlight w:val="none"/>
          <w14:textFill>
            <w14:solidFill>
              <w14:schemeClr w14:val="tx1"/>
            </w14:solidFill>
          </w14:textFill>
        </w:rPr>
        <w:t>1.诚信声明</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本人</w:t>
      </w:r>
      <w:r>
        <w:rPr>
          <w:rFonts w:hint="eastAsia" w:ascii="宋体" w:hAnsi="宋体"/>
          <w:color w:val="000000" w:themeColor="text1"/>
          <w:szCs w:val="21"/>
          <w:highlight w:val="none"/>
          <w:u w:val="single"/>
          <w14:textFill>
            <w14:solidFill>
              <w14:schemeClr w14:val="tx1"/>
            </w14:solidFill>
          </w14:textFill>
        </w:rPr>
        <w:t>（法定代表人、身份证号码）</w:t>
      </w:r>
      <w:r>
        <w:rPr>
          <w:rFonts w:hint="eastAsia" w:ascii="宋体" w:hAnsi="宋体"/>
          <w:color w:val="000000" w:themeColor="text1"/>
          <w:szCs w:val="21"/>
          <w:highlight w:val="none"/>
          <w14:textFill>
            <w14:solidFill>
              <w14:schemeClr w14:val="tx1"/>
            </w14:solidFill>
          </w14:textFill>
        </w:rPr>
        <w:t>郑重声明：</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1）本</w:t>
      </w:r>
      <w:r>
        <w:rPr>
          <w:rFonts w:hint="eastAsia" w:ascii="宋体" w:hAnsi="宋体"/>
          <w:color w:val="000000" w:themeColor="text1"/>
          <w:szCs w:val="21"/>
          <w:highlight w:val="none"/>
          <w14:textFill>
            <w14:solidFill>
              <w14:schemeClr w14:val="tx1"/>
            </w14:solidFill>
          </w14:textFill>
        </w:rPr>
        <w:t>公司参加</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采购项目比选活动所提交的所有资料、填写数据及所包含的附件资料内容是真实的、合法的、有效的；</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2）本</w:t>
      </w:r>
      <w:r>
        <w:rPr>
          <w:rFonts w:hint="eastAsia" w:ascii="宋体" w:hAnsi="宋体"/>
          <w:color w:val="000000" w:themeColor="text1"/>
          <w:szCs w:val="21"/>
          <w:highlight w:val="none"/>
          <w14:textFill>
            <w14:solidFill>
              <w14:schemeClr w14:val="tx1"/>
            </w14:solidFill>
          </w14:textFill>
        </w:rPr>
        <w:t>公司未被国家、广西壮族自治区、南宁市相关行政主管部门通报停止投标活动，无犯罪行贿记录；</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3）同时，我在此所作的声明也是真实有效的，并愿意对在比选过程中有关部门的调查结果承担责任；</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4）本</w:t>
      </w:r>
      <w:r>
        <w:rPr>
          <w:rFonts w:hint="eastAsia" w:ascii="宋体" w:hAnsi="宋体"/>
          <w:color w:val="000000" w:themeColor="text1"/>
          <w:szCs w:val="21"/>
          <w:highlight w:val="none"/>
          <w14:textFill>
            <w14:solidFill>
              <w14:schemeClr w14:val="tx1"/>
            </w14:solidFill>
          </w14:textFill>
        </w:rPr>
        <w:t>公司提交的所有比选申请资料如有不实，愿接受相关部门依据有关法律法规给予的处罚。</w:t>
      </w: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比选申请人（公章）:</w:t>
      </w:r>
      <w:r>
        <w:rPr>
          <w:rFonts w:ascii="宋体" w:hAnsi="宋体"/>
          <w:color w:val="000000" w:themeColor="text1"/>
          <w:szCs w:val="21"/>
          <w:highlight w:val="none"/>
          <w:u w:val="single"/>
          <w14:textFill>
            <w14:solidFill>
              <w14:schemeClr w14:val="tx1"/>
            </w14:solidFill>
          </w14:textFill>
        </w:rPr>
        <w:t xml:space="preserve">                                      </w:t>
      </w: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法定代表人（签字或盖章）：</w:t>
      </w:r>
      <w:r>
        <w:rPr>
          <w:rFonts w:hint="eastAsia" w:ascii="宋体" w:hAnsi="宋体"/>
          <w:color w:val="000000" w:themeColor="text1"/>
          <w:szCs w:val="21"/>
          <w:highlight w:val="none"/>
          <w:u w:val="single"/>
          <w14:textFill>
            <w14:solidFill>
              <w14:schemeClr w14:val="tx1"/>
            </w14:solidFill>
          </w14:textFill>
        </w:rPr>
        <w:t xml:space="preserve">                               </w:t>
      </w: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spacing w:line="360" w:lineRule="auto"/>
        <w:ind w:firstLine="420" w:firstLineChars="200"/>
        <w:rPr>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spacing w:line="360" w:lineRule="auto"/>
        <w:ind w:firstLine="420" w:firstLineChars="200"/>
        <w:rPr>
          <w:color w:val="000000" w:themeColor="text1"/>
          <w:szCs w:val="21"/>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p>
    <w:bookmarkEnd w:id="322"/>
    <w:bookmarkEnd w:id="323"/>
    <w:bookmarkEnd w:id="324"/>
    <w:bookmarkEnd w:id="325"/>
    <w:bookmarkEnd w:id="326"/>
    <w:bookmarkEnd w:id="327"/>
    <w:bookmarkEnd w:id="328"/>
    <w:bookmarkEnd w:id="329"/>
    <w:bookmarkEnd w:id="330"/>
    <w:bookmarkEnd w:id="331"/>
    <w:bookmarkEnd w:id="332"/>
    <w:bookmarkEnd w:id="333"/>
    <w:p>
      <w:pPr>
        <w:jc w:val="left"/>
        <w:rPr>
          <w:rFonts w:ascii="宋体" w:hAnsi="宋体"/>
          <w:b/>
          <w:bCs/>
          <w:color w:val="000000" w:themeColor="text1"/>
          <w:szCs w:val="28"/>
          <w:highlight w:val="none"/>
          <w14:textFill>
            <w14:solidFill>
              <w14:schemeClr w14:val="tx1"/>
            </w14:solidFill>
          </w14:textFill>
        </w:rPr>
      </w:pPr>
      <w:bookmarkStart w:id="334" w:name="_Toc25670"/>
      <w:bookmarkStart w:id="335" w:name="_Toc28436"/>
      <w:bookmarkStart w:id="336" w:name="_Toc16756"/>
      <w:bookmarkStart w:id="337" w:name="_Toc750"/>
      <w:bookmarkStart w:id="338" w:name="_Toc32075"/>
      <w:bookmarkStart w:id="339" w:name="_Toc19937"/>
      <w:bookmarkStart w:id="340" w:name="_Toc3498"/>
      <w:bookmarkStart w:id="341" w:name="_Toc7760"/>
      <w:bookmarkStart w:id="342" w:name="_Toc6606"/>
      <w:r>
        <w:rPr>
          <w:rFonts w:ascii="宋体" w:hAnsi="宋体"/>
          <w:b/>
          <w:bCs/>
          <w:color w:val="000000" w:themeColor="text1"/>
          <w:szCs w:val="28"/>
          <w:highlight w:val="none"/>
          <w14:textFill>
            <w14:solidFill>
              <w14:schemeClr w14:val="tx1"/>
            </w14:solidFill>
          </w14:textFill>
        </w:rPr>
        <w:br w:type="page"/>
      </w:r>
    </w:p>
    <w:p>
      <w:pPr>
        <w:pStyle w:val="5"/>
        <w:spacing w:before="0" w:after="0" w:line="360" w:lineRule="auto"/>
        <w:jc w:val="left"/>
        <w:rPr>
          <w:rFonts w:ascii="宋体" w:hAnsi="宋体"/>
          <w:b/>
          <w:bCs/>
          <w:color w:val="000000" w:themeColor="text1"/>
          <w:kern w:val="2"/>
          <w:szCs w:val="28"/>
          <w:highlight w:val="none"/>
          <w14:textFill>
            <w14:solidFill>
              <w14:schemeClr w14:val="tx1"/>
            </w14:solidFill>
          </w14:textFill>
        </w:rPr>
      </w:pPr>
      <w:r>
        <w:rPr>
          <w:rFonts w:ascii="宋体" w:hAnsi="宋体"/>
          <w:b/>
          <w:bCs/>
          <w:color w:val="000000" w:themeColor="text1"/>
          <w:kern w:val="2"/>
          <w:szCs w:val="28"/>
          <w:highlight w:val="none"/>
          <w14:textFill>
            <w14:solidFill>
              <w14:schemeClr w14:val="tx1"/>
            </w14:solidFill>
          </w14:textFill>
        </w:rPr>
        <w:t>2</w:t>
      </w:r>
      <w:r>
        <w:rPr>
          <w:rFonts w:hint="eastAsia" w:ascii="宋体" w:hAnsi="宋体"/>
          <w:b/>
          <w:bCs/>
          <w:color w:val="000000" w:themeColor="text1"/>
          <w:kern w:val="2"/>
          <w:szCs w:val="28"/>
          <w:highlight w:val="none"/>
          <w14:textFill>
            <w14:solidFill>
              <w14:schemeClr w14:val="tx1"/>
            </w14:solidFill>
          </w14:textFill>
        </w:rPr>
        <w:t>.比选函（格式）</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致：南宁市金盾道路清障有限责任公司</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根据贵方提供的</w:t>
      </w:r>
      <w:r>
        <w:rPr>
          <w:rFonts w:hint="eastAsia" w:ascii="宋体" w:hAnsi="宋体" w:cs="宋体"/>
          <w:color w:val="000000" w:themeColor="text1"/>
          <w:szCs w:val="21"/>
          <w:highlight w:val="none"/>
          <w:u w:val="single"/>
          <w14:textFill>
            <w14:solidFill>
              <w14:schemeClr w14:val="tx1"/>
            </w14:solidFill>
          </w14:textFill>
        </w:rPr>
        <w:t>南宁市金盾道路清障有限责任公司人才猎聘及人事代理服务采购项目</w:t>
      </w:r>
      <w:r>
        <w:rPr>
          <w:rFonts w:ascii="宋体" w:hAnsi="宋体" w:cs="宋体"/>
          <w:color w:val="000000" w:themeColor="text1"/>
          <w:szCs w:val="21"/>
          <w:highlight w:val="none"/>
          <w14:textFill>
            <w14:solidFill>
              <w14:schemeClr w14:val="tx1"/>
            </w14:solidFill>
          </w14:textFill>
        </w:rPr>
        <w:t>比选文件，我方正式授权下述签字人（姓名和职务）全权代表我方（比选申请人全称）参加贵方组织的有关比选活动，并提交下述文件：</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一、资格审查文件正本一份，副本</w:t>
      </w:r>
      <w:r>
        <w:rPr>
          <w:rFonts w:hint="eastAsia" w:ascii="宋体" w:hAnsi="宋体" w:cs="宋体"/>
          <w:color w:val="000000" w:themeColor="text1"/>
          <w:szCs w:val="21"/>
          <w:highlight w:val="none"/>
          <w14:textFill>
            <w14:solidFill>
              <w14:schemeClr w14:val="tx1"/>
            </w14:solidFill>
          </w14:textFill>
        </w:rPr>
        <w:t>四</w:t>
      </w:r>
      <w:r>
        <w:rPr>
          <w:rFonts w:ascii="宋体" w:hAnsi="宋体" w:cs="宋体"/>
          <w:color w:val="000000" w:themeColor="text1"/>
          <w:szCs w:val="21"/>
          <w:highlight w:val="none"/>
          <w14:textFill>
            <w14:solidFill>
              <w14:schemeClr w14:val="tx1"/>
            </w14:solidFill>
          </w14:textFill>
        </w:rPr>
        <w:t>份</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二、商务</w:t>
      </w:r>
      <w:r>
        <w:rPr>
          <w:rFonts w:hint="eastAsia" w:ascii="宋体" w:hAnsi="宋体" w:cs="宋体"/>
          <w:color w:val="000000" w:themeColor="text1"/>
          <w:szCs w:val="21"/>
          <w:highlight w:val="none"/>
          <w14:textFill>
            <w14:solidFill>
              <w14:schemeClr w14:val="tx1"/>
            </w14:solidFill>
          </w14:textFill>
        </w:rPr>
        <w:t>技术</w:t>
      </w:r>
      <w:r>
        <w:rPr>
          <w:rFonts w:ascii="宋体" w:hAnsi="宋体" w:cs="宋体"/>
          <w:color w:val="000000" w:themeColor="text1"/>
          <w:szCs w:val="21"/>
          <w:highlight w:val="none"/>
          <w14:textFill>
            <w14:solidFill>
              <w14:schemeClr w14:val="tx1"/>
            </w14:solidFill>
          </w14:textFill>
        </w:rPr>
        <w:t>部</w:t>
      </w:r>
      <w:r>
        <w:rPr>
          <w:rFonts w:hint="eastAsia" w:ascii="宋体" w:hAnsi="宋体" w:cs="宋体"/>
          <w:color w:val="000000" w:themeColor="text1"/>
          <w:szCs w:val="21"/>
          <w:highlight w:val="none"/>
          <w14:textFill>
            <w14:solidFill>
              <w14:schemeClr w14:val="tx1"/>
            </w14:solidFill>
          </w14:textFill>
        </w:rPr>
        <w:t>分文件正本一份，副本四份</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三、报价部分文件正本一份，副本四份</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据此函，签字</w:t>
      </w:r>
      <w:r>
        <w:rPr>
          <w:rFonts w:hint="eastAsia" w:ascii="宋体" w:hAnsi="宋体" w:cs="宋体"/>
          <w:color w:val="000000" w:themeColor="text1"/>
          <w:szCs w:val="21"/>
          <w:highlight w:val="none"/>
          <w14:textFill>
            <w14:solidFill>
              <w14:schemeClr w14:val="tx1"/>
            </w14:solidFill>
          </w14:textFill>
        </w:rPr>
        <w:t>人兹宣布同意如下：</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w:t>
      </w:r>
      <w:r>
        <w:rPr>
          <w:rFonts w:hint="eastAsia" w:hAnsi="宋体"/>
          <w:color w:val="000000" w:themeColor="text1"/>
          <w:szCs w:val="21"/>
          <w:highlight w:val="none"/>
          <w14:textFill>
            <w14:solidFill>
              <w14:schemeClr w14:val="tx1"/>
            </w14:solidFill>
          </w14:textFill>
        </w:rPr>
        <w:t>我方同意在比选申请人须知规定的提交比选申请文件截止日期起遵循本比选文件，并在比选申请文件有效期满之前均具有约束力，并有可能中选</w:t>
      </w:r>
      <w:r>
        <w:rPr>
          <w:rFonts w:hint="eastAsia" w:ascii="宋体" w:hAnsi="宋体" w:cs="宋体"/>
          <w:color w:val="000000" w:themeColor="text1"/>
          <w:szCs w:val="21"/>
          <w:highlight w:val="none"/>
          <w14:textFill>
            <w14:solidFill>
              <w14:schemeClr w14:val="tx1"/>
            </w14:solidFill>
          </w14:textFill>
        </w:rPr>
        <w:t>。</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2.我方承诺已经具备比选申请人应当具备的条件：</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（1）具有独立承担民事责任的能力；</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（2）具有良好的商业信誉和健全的财务会计制度；</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（3）具有履行合同所必需的设备和专业技术能力；</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（4）有依法缴纳税收和社会保障资金的良好记录；</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（5）参加此项比选活动前三年内，</w:t>
      </w:r>
      <w:r>
        <w:rPr>
          <w:rFonts w:hint="eastAsia" w:ascii="宋体" w:hAnsi="宋体" w:cs="宋体"/>
          <w:color w:val="000000" w:themeColor="text1"/>
          <w:szCs w:val="21"/>
          <w:highlight w:val="none"/>
          <w14:textFill>
            <w14:solidFill>
              <w14:schemeClr w14:val="tx1"/>
            </w14:solidFill>
          </w14:textFill>
        </w:rPr>
        <w:t>没有受到行政处罚或行业处分</w:t>
      </w:r>
      <w:r>
        <w:rPr>
          <w:rFonts w:ascii="宋体" w:hAnsi="宋体" w:cs="宋体"/>
          <w:color w:val="000000" w:themeColor="text1"/>
          <w:szCs w:val="21"/>
          <w:highlight w:val="none"/>
          <w14:textFill>
            <w14:solidFill>
              <w14:schemeClr w14:val="tx1"/>
            </w14:solidFill>
          </w14:textFill>
        </w:rPr>
        <w:t>。</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3.我方根据比选文件的规定，承担完成合同的责任和义务。</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4.我方已详细对照比选文件，我方知道必须放弃提出含糊不清或误解问题的权利</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5.同意应贵方要求提供与本比选项目有关的任何数据或资料。</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6.若贵方需要，我方愿意提供我方</w:t>
      </w:r>
      <w:r>
        <w:rPr>
          <w:rFonts w:hint="eastAsia" w:ascii="宋体" w:hAnsi="宋体" w:cs="宋体"/>
          <w:color w:val="000000" w:themeColor="text1"/>
          <w:szCs w:val="21"/>
          <w:highlight w:val="none"/>
          <w14:textFill>
            <w14:solidFill>
              <w14:schemeClr w14:val="tx1"/>
            </w14:solidFill>
          </w14:textFill>
        </w:rPr>
        <w:t>作出的一切承诺的证明材料。</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7.我方将严格遵守规定，我方有下列情形之一的，将接受贵方列入不良行为记录名单、追究法律责任等处罚：</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1）提供虚假材料谋取中选、成交的；</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（2）采取不正当手段诋毁、排挤其他比选申请人的；</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（3）与其他比选申请人恶意串通的；</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（4）向比选人行贿或者提供其他不正当利益的；</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（5）拒绝有关部门监督检查或提供虚假情况的。</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与本比选活动有关的正式通讯地址为：</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地址：</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邮政编码：</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传真：</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开户名称：</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开户银行：</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帐</w:t>
      </w:r>
      <w:r>
        <w:rPr>
          <w:rFonts w:ascii="宋体" w:hAnsi="宋体" w:cs="宋体"/>
          <w:color w:val="000000" w:themeColor="text1"/>
          <w:szCs w:val="21"/>
          <w:highlight w:val="none"/>
          <w14:textFill>
            <w14:solidFill>
              <w14:schemeClr w14:val="tx1"/>
            </w14:solidFill>
          </w14:textFill>
        </w:rPr>
        <w:t>号：</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法定代表人或其委托代理人（签名或盖章）：</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比选申请人（公章）：</w:t>
      </w:r>
    </w:p>
    <w:p>
      <w:pPr>
        <w:spacing w:line="360" w:lineRule="auto"/>
        <w:ind w:firstLine="1470" w:firstLineChars="7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年   月   日</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注：未按照本比选函的格式要求填写比选函的，将视为不满</w:t>
      </w:r>
      <w:bookmarkStart w:id="343" w:name="_Toc1460"/>
      <w:r>
        <w:rPr>
          <w:rFonts w:hint="eastAsia" w:ascii="宋体" w:hAnsi="宋体" w:cs="宋体"/>
          <w:color w:val="000000" w:themeColor="text1"/>
          <w:szCs w:val="21"/>
          <w:highlight w:val="none"/>
          <w14:textFill>
            <w14:solidFill>
              <w14:schemeClr w14:val="tx1"/>
            </w14:solidFill>
          </w14:textFill>
        </w:rPr>
        <w:t>足比选文</w:t>
      </w:r>
      <w:bookmarkEnd w:id="343"/>
      <w:r>
        <w:rPr>
          <w:rFonts w:hint="eastAsia" w:ascii="宋体" w:hAnsi="宋体" w:cs="宋体"/>
          <w:color w:val="000000" w:themeColor="text1"/>
          <w:szCs w:val="21"/>
          <w:highlight w:val="none"/>
          <w14:textFill>
            <w14:solidFill>
              <w14:schemeClr w14:val="tx1"/>
            </w14:solidFill>
          </w14:textFill>
        </w:rPr>
        <w:t>件要求，从而导致该比选申请人竞选无效。</w:t>
      </w:r>
    </w:p>
    <w:p>
      <w:pPr>
        <w:jc w:val="center"/>
        <w:rPr>
          <w:rFonts w:ascii="宋体" w:hAnsi="宋体"/>
          <w:b/>
          <w:color w:val="000000" w:themeColor="text1"/>
          <w:kern w:val="0"/>
          <w:sz w:val="30"/>
          <w:szCs w:val="30"/>
          <w:highlight w:val="none"/>
          <w14:textFill>
            <w14:solidFill>
              <w14:schemeClr w14:val="tx1"/>
            </w14:solidFill>
          </w14:textFill>
        </w:rPr>
      </w:pPr>
    </w:p>
    <w:p>
      <w:pPr>
        <w:jc w:val="center"/>
        <w:rPr>
          <w:rFonts w:ascii="宋体" w:hAnsi="宋体"/>
          <w:b/>
          <w:color w:val="000000" w:themeColor="text1"/>
          <w:kern w:val="0"/>
          <w:sz w:val="30"/>
          <w:szCs w:val="30"/>
          <w:highlight w:val="none"/>
          <w14:textFill>
            <w14:solidFill>
              <w14:schemeClr w14:val="tx1"/>
            </w14:solidFill>
          </w14:textFill>
        </w:rPr>
      </w:pPr>
    </w:p>
    <w:p>
      <w:pPr>
        <w:jc w:val="center"/>
        <w:rPr>
          <w:rFonts w:ascii="宋体" w:hAnsi="宋体"/>
          <w:b/>
          <w:color w:val="000000" w:themeColor="text1"/>
          <w:kern w:val="0"/>
          <w:sz w:val="30"/>
          <w:szCs w:val="30"/>
          <w:highlight w:val="none"/>
          <w14:textFill>
            <w14:solidFill>
              <w14:schemeClr w14:val="tx1"/>
            </w14:solidFill>
          </w14:textFill>
        </w:rPr>
      </w:pPr>
    </w:p>
    <w:p>
      <w:pPr>
        <w:jc w:val="center"/>
        <w:rPr>
          <w:rFonts w:ascii="宋体" w:hAnsi="宋体"/>
          <w:b/>
          <w:color w:val="000000" w:themeColor="text1"/>
          <w:kern w:val="0"/>
          <w:sz w:val="30"/>
          <w:szCs w:val="30"/>
          <w:highlight w:val="none"/>
          <w14:textFill>
            <w14:solidFill>
              <w14:schemeClr w14:val="tx1"/>
            </w14:solidFill>
          </w14:textFill>
        </w:rPr>
      </w:pPr>
    </w:p>
    <w:p>
      <w:pPr>
        <w:jc w:val="center"/>
        <w:rPr>
          <w:rFonts w:ascii="宋体" w:hAnsi="宋体"/>
          <w:b/>
          <w:color w:val="000000" w:themeColor="text1"/>
          <w:kern w:val="0"/>
          <w:sz w:val="30"/>
          <w:szCs w:val="30"/>
          <w:highlight w:val="none"/>
          <w14:textFill>
            <w14:solidFill>
              <w14:schemeClr w14:val="tx1"/>
            </w14:solidFill>
          </w14:textFill>
        </w:rPr>
      </w:pPr>
    </w:p>
    <w:p>
      <w:pPr>
        <w:jc w:val="center"/>
        <w:rPr>
          <w:rFonts w:ascii="宋体" w:hAnsi="宋体"/>
          <w:b/>
          <w:color w:val="000000" w:themeColor="text1"/>
          <w:kern w:val="0"/>
          <w:sz w:val="30"/>
          <w:szCs w:val="30"/>
          <w:highlight w:val="none"/>
          <w14:textFill>
            <w14:solidFill>
              <w14:schemeClr w14:val="tx1"/>
            </w14:solidFill>
          </w14:textFill>
        </w:rPr>
      </w:pPr>
    </w:p>
    <w:p>
      <w:pPr>
        <w:jc w:val="center"/>
        <w:rPr>
          <w:rFonts w:ascii="宋体" w:hAnsi="宋体"/>
          <w:b/>
          <w:color w:val="000000" w:themeColor="text1"/>
          <w:kern w:val="0"/>
          <w:sz w:val="30"/>
          <w:szCs w:val="30"/>
          <w:highlight w:val="none"/>
          <w14:textFill>
            <w14:solidFill>
              <w14:schemeClr w14:val="tx1"/>
            </w14:solidFill>
          </w14:textFill>
        </w:rPr>
      </w:pPr>
    </w:p>
    <w:p>
      <w:pPr>
        <w:jc w:val="center"/>
        <w:rPr>
          <w:rFonts w:ascii="宋体" w:hAnsi="宋体"/>
          <w:b/>
          <w:color w:val="000000" w:themeColor="text1"/>
          <w:kern w:val="0"/>
          <w:sz w:val="30"/>
          <w:szCs w:val="30"/>
          <w:highlight w:val="none"/>
          <w14:textFill>
            <w14:solidFill>
              <w14:schemeClr w14:val="tx1"/>
            </w14:solidFill>
          </w14:textFill>
        </w:rPr>
      </w:pPr>
    </w:p>
    <w:p>
      <w:pPr>
        <w:jc w:val="center"/>
        <w:rPr>
          <w:rFonts w:ascii="宋体" w:hAnsi="宋体"/>
          <w:b/>
          <w:color w:val="000000" w:themeColor="text1"/>
          <w:kern w:val="0"/>
          <w:sz w:val="30"/>
          <w:szCs w:val="30"/>
          <w:highlight w:val="none"/>
          <w14:textFill>
            <w14:solidFill>
              <w14:schemeClr w14:val="tx1"/>
            </w14:solidFill>
          </w14:textFill>
        </w:rPr>
      </w:pPr>
    </w:p>
    <w:p>
      <w:pPr>
        <w:jc w:val="center"/>
        <w:rPr>
          <w:rFonts w:ascii="宋体" w:hAnsi="宋体"/>
          <w:b/>
          <w:color w:val="000000" w:themeColor="text1"/>
          <w:kern w:val="0"/>
          <w:sz w:val="30"/>
          <w:szCs w:val="30"/>
          <w:highlight w:val="none"/>
          <w14:textFill>
            <w14:solidFill>
              <w14:schemeClr w14:val="tx1"/>
            </w14:solidFill>
          </w14:textFill>
        </w:rPr>
      </w:pPr>
    </w:p>
    <w:p>
      <w:pPr>
        <w:jc w:val="center"/>
        <w:rPr>
          <w:rFonts w:ascii="宋体" w:hAnsi="宋体"/>
          <w:b/>
          <w:color w:val="000000" w:themeColor="text1"/>
          <w:kern w:val="0"/>
          <w:sz w:val="30"/>
          <w:szCs w:val="30"/>
          <w:highlight w:val="none"/>
          <w14:textFill>
            <w14:solidFill>
              <w14:schemeClr w14:val="tx1"/>
            </w14:solidFill>
          </w14:textFill>
        </w:rPr>
      </w:pPr>
    </w:p>
    <w:p>
      <w:pPr>
        <w:jc w:val="center"/>
        <w:rPr>
          <w:rFonts w:ascii="宋体" w:hAnsi="宋体"/>
          <w:b/>
          <w:color w:val="000000" w:themeColor="text1"/>
          <w:kern w:val="0"/>
          <w:sz w:val="30"/>
          <w:szCs w:val="30"/>
          <w:highlight w:val="none"/>
          <w14:textFill>
            <w14:solidFill>
              <w14:schemeClr w14:val="tx1"/>
            </w14:solidFill>
          </w14:textFill>
        </w:rPr>
      </w:pPr>
    </w:p>
    <w:bookmarkEnd w:id="334"/>
    <w:bookmarkEnd w:id="335"/>
    <w:bookmarkEnd w:id="336"/>
    <w:bookmarkEnd w:id="337"/>
    <w:bookmarkEnd w:id="338"/>
    <w:bookmarkEnd w:id="339"/>
    <w:bookmarkEnd w:id="340"/>
    <w:bookmarkEnd w:id="341"/>
    <w:bookmarkEnd w:id="342"/>
    <w:p>
      <w:pPr>
        <w:pStyle w:val="5"/>
        <w:spacing w:before="0" w:after="0" w:line="360" w:lineRule="auto"/>
        <w:jc w:val="left"/>
        <w:rPr>
          <w:rFonts w:ascii="宋体" w:hAnsi="宋体"/>
          <w:b/>
          <w:bCs/>
          <w:color w:val="000000" w:themeColor="text1"/>
          <w:kern w:val="2"/>
          <w:szCs w:val="28"/>
          <w:highlight w:val="none"/>
          <w14:textFill>
            <w14:solidFill>
              <w14:schemeClr w14:val="tx1"/>
            </w14:solidFill>
          </w14:textFill>
        </w:rPr>
      </w:pPr>
      <w:r>
        <w:rPr>
          <w:rFonts w:ascii="宋体" w:hAnsi="宋体"/>
          <w:b/>
          <w:bCs/>
          <w:color w:val="000000" w:themeColor="text1"/>
          <w:kern w:val="2"/>
          <w:szCs w:val="28"/>
          <w:highlight w:val="none"/>
          <w14:textFill>
            <w14:solidFill>
              <w14:schemeClr w14:val="tx1"/>
            </w14:solidFill>
          </w14:textFill>
        </w:rPr>
        <w:t>3.</w:t>
      </w:r>
      <w:r>
        <w:rPr>
          <w:rFonts w:hint="eastAsia" w:ascii="宋体" w:hAnsi="宋体"/>
          <w:b/>
          <w:bCs/>
          <w:color w:val="000000" w:themeColor="text1"/>
          <w:kern w:val="2"/>
          <w:szCs w:val="28"/>
          <w:highlight w:val="none"/>
          <w14:textFill>
            <w14:solidFill>
              <w14:schemeClr w14:val="tx1"/>
            </w14:solidFill>
          </w14:textFill>
        </w:rPr>
        <w:t>比选申请人营业执照（复印件加盖公司公章）</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lef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br w:type="page"/>
      </w:r>
    </w:p>
    <w:p>
      <w:pPr>
        <w:ind w:right="753"/>
        <w:jc w:val="left"/>
        <w:rPr>
          <w:rFonts w:ascii="宋体" w:hAnsi="宋体"/>
          <w:b/>
          <w:bCs/>
          <w:color w:val="000000" w:themeColor="text1"/>
          <w:sz w:val="28"/>
          <w:szCs w:val="28"/>
          <w:highlight w:val="none"/>
          <w14:textFill>
            <w14:solidFill>
              <w14:schemeClr w14:val="tx1"/>
            </w14:solidFill>
          </w14:textFill>
        </w:rPr>
      </w:pPr>
      <w:r>
        <w:rPr>
          <w:rFonts w:ascii="宋体" w:hAnsi="宋体"/>
          <w:b/>
          <w:bCs/>
          <w:color w:val="000000" w:themeColor="text1"/>
          <w:sz w:val="28"/>
          <w:szCs w:val="28"/>
          <w:highlight w:val="none"/>
          <w14:textFill>
            <w14:solidFill>
              <w14:schemeClr w14:val="tx1"/>
            </w14:solidFill>
          </w14:textFill>
        </w:rPr>
        <w:t>4.</w:t>
      </w:r>
      <w:r>
        <w:rPr>
          <w:rFonts w:hint="eastAsia" w:ascii="宋体" w:hAnsi="宋体"/>
          <w:b/>
          <w:bCs/>
          <w:color w:val="000000" w:themeColor="text1"/>
          <w:sz w:val="28"/>
          <w:szCs w:val="28"/>
          <w:highlight w:val="none"/>
          <w14:textFill>
            <w14:solidFill>
              <w14:schemeClr w14:val="tx1"/>
            </w14:solidFill>
          </w14:textFill>
        </w:rPr>
        <w:t>比选申请人法定代表人身份证明（复印件加盖公司公章）</w:t>
      </w:r>
    </w:p>
    <w:p>
      <w:pPr>
        <w:autoSpaceDE/>
        <w:autoSpaceDN/>
        <w:adjustRightInd/>
        <w:spacing w:line="360" w:lineRule="auto"/>
        <w:jc w:val="center"/>
        <w:rPr>
          <w:rFonts w:ascii="宋体" w:hAnsi="宋体" w:cs="宋体"/>
          <w:b w:val="0"/>
          <w:color w:val="000000" w:themeColor="text1"/>
          <w:kern w:val="2"/>
          <w:sz w:val="21"/>
          <w:szCs w:val="21"/>
          <w:highlight w:val="none"/>
          <w14:textFill>
            <w14:solidFill>
              <w14:schemeClr w14:val="tx1"/>
            </w14:solidFill>
          </w14:textFill>
        </w:rPr>
      </w:pPr>
      <w:r>
        <w:rPr>
          <w:rFonts w:hint="eastAsia" w:ascii="宋体" w:hAnsi="宋体" w:cs="宋体"/>
          <w:b w:val="0"/>
          <w:color w:val="000000" w:themeColor="text1"/>
          <w:kern w:val="2"/>
          <w:sz w:val="21"/>
          <w:szCs w:val="21"/>
          <w:highlight w:val="none"/>
          <w14:textFill>
            <w14:solidFill>
              <w14:schemeClr w14:val="tx1"/>
            </w14:solidFill>
          </w14:textFill>
        </w:rPr>
        <w:t>比选申请人法定代表人身份证正反面</w:t>
      </w:r>
    </w:p>
    <w:p>
      <w:pPr>
        <w:autoSpaceDE w:val="0"/>
        <w:autoSpaceDN w:val="0"/>
        <w:adjustRightInd w:val="0"/>
        <w:spacing w:line="480" w:lineRule="auto"/>
        <w:jc w:val="center"/>
        <w:rPr>
          <w:rFonts w:ascii="宋体" w:hAnsi="宋体"/>
          <w:b/>
          <w:color w:val="000000" w:themeColor="text1"/>
          <w:kern w:val="0"/>
          <w:sz w:val="30"/>
          <w:szCs w:val="30"/>
          <w:highlight w:val="none"/>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highlight w:val="none"/>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highlight w:val="none"/>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highlight w:val="none"/>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highlight w:val="none"/>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highlight w:val="none"/>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highlight w:val="none"/>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highlight w:val="none"/>
          <w14:textFill>
            <w14:solidFill>
              <w14:schemeClr w14:val="tx1"/>
            </w14:solidFill>
          </w14:textFill>
        </w:rPr>
      </w:pPr>
    </w:p>
    <w:p>
      <w:pPr>
        <w:tabs>
          <w:tab w:val="left" w:pos="312"/>
        </w:tabs>
        <w:jc w:val="left"/>
        <w:rPr>
          <w:rFonts w:ascii="宋体" w:hAnsi="宋体"/>
          <w:b/>
          <w:bCs/>
          <w:color w:val="000000" w:themeColor="text1"/>
          <w:szCs w:val="28"/>
          <w:highlight w:val="none"/>
          <w14:textFill>
            <w14:solidFill>
              <w14:schemeClr w14:val="tx1"/>
            </w14:solidFill>
          </w14:textFill>
        </w:rPr>
      </w:pPr>
      <w:bookmarkStart w:id="344" w:name="_Toc20164"/>
      <w:bookmarkStart w:id="345" w:name="_Toc21578"/>
      <w:bookmarkStart w:id="346" w:name="_Toc31680"/>
      <w:bookmarkStart w:id="347" w:name="_Toc461525326"/>
      <w:bookmarkStart w:id="348" w:name="_Toc12228"/>
      <w:bookmarkStart w:id="349" w:name="_Toc24923"/>
      <w:bookmarkStart w:id="350" w:name="_Toc15718"/>
      <w:bookmarkStart w:id="351" w:name="_Toc16140"/>
      <w:bookmarkStart w:id="352" w:name="_Toc2861"/>
      <w:bookmarkStart w:id="353" w:name="_Toc32606"/>
      <w:bookmarkStart w:id="354" w:name="_Toc14553"/>
      <w:bookmarkStart w:id="355" w:name="_Toc27593"/>
      <w:r>
        <w:rPr>
          <w:rFonts w:hint="eastAsia" w:ascii="宋体" w:hAnsi="宋体"/>
          <w:b/>
          <w:bCs/>
          <w:color w:val="000000" w:themeColor="text1"/>
          <w:szCs w:val="28"/>
          <w:highlight w:val="none"/>
          <w14:textFill>
            <w14:solidFill>
              <w14:schemeClr w14:val="tx1"/>
            </w14:solidFill>
          </w14:textFill>
        </w:rPr>
        <w:br w:type="page"/>
      </w:r>
    </w:p>
    <w:p>
      <w:pPr>
        <w:tabs>
          <w:tab w:val="left" w:pos="312"/>
        </w:tabs>
        <w:ind w:right="753"/>
        <w:jc w:val="left"/>
        <w:rPr>
          <w:rFonts w:ascii="宋体" w:hAnsi="宋体"/>
          <w:b/>
          <w:bCs/>
          <w:color w:val="000000" w:themeColor="text1"/>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5.授权委托书</w:t>
      </w:r>
      <w:bookmarkEnd w:id="344"/>
      <w:bookmarkEnd w:id="345"/>
      <w:r>
        <w:rPr>
          <w:rFonts w:hint="eastAsia" w:ascii="宋体" w:hAnsi="宋体"/>
          <w:b/>
          <w:bCs/>
          <w:color w:val="000000" w:themeColor="text1"/>
          <w:sz w:val="28"/>
          <w:szCs w:val="28"/>
          <w:highlight w:val="none"/>
          <w14:textFill>
            <w14:solidFill>
              <w14:schemeClr w14:val="tx1"/>
            </w14:solidFill>
          </w14:textFill>
        </w:rPr>
        <w:t>（格式）</w:t>
      </w:r>
      <w:bookmarkEnd w:id="346"/>
      <w:bookmarkEnd w:id="347"/>
      <w:bookmarkEnd w:id="348"/>
      <w:bookmarkEnd w:id="349"/>
      <w:bookmarkEnd w:id="350"/>
      <w:bookmarkEnd w:id="351"/>
      <w:bookmarkEnd w:id="352"/>
      <w:bookmarkEnd w:id="353"/>
      <w:bookmarkEnd w:id="354"/>
      <w:bookmarkEnd w:id="355"/>
    </w:p>
    <w:p>
      <w:pPr>
        <w:spacing w:line="360" w:lineRule="auto"/>
        <w:jc w:val="center"/>
        <w:rPr>
          <w:rFonts w:ascii="宋体" w:hAnsi="宋体"/>
          <w:b/>
          <w:sz w:val="32"/>
          <w:szCs w:val="32"/>
          <w:highlight w:val="none"/>
        </w:rPr>
      </w:pPr>
      <w:r>
        <w:rPr>
          <w:rFonts w:ascii="宋体" w:hAnsi="宋体"/>
          <w:b/>
          <w:sz w:val="32"/>
          <w:szCs w:val="32"/>
          <w:highlight w:val="none"/>
        </w:rPr>
        <w:t>法定代表人授权书</w:t>
      </w:r>
    </w:p>
    <w:p>
      <w:pPr>
        <w:tabs>
          <w:tab w:val="left" w:pos="8364"/>
        </w:tabs>
        <w:snapToGrid w:val="0"/>
        <w:spacing w:line="360" w:lineRule="auto"/>
        <w:ind w:left="500" w:hanging="499"/>
        <w:rPr>
          <w:rFonts w:ascii="宋体" w:hAnsi="宋体"/>
          <w:highlight w:val="none"/>
        </w:rPr>
      </w:pPr>
    </w:p>
    <w:p>
      <w:pPr>
        <w:tabs>
          <w:tab w:val="left" w:pos="8364"/>
        </w:tabs>
        <w:snapToGrid w:val="0"/>
        <w:spacing w:line="360" w:lineRule="auto"/>
        <w:rPr>
          <w:rFonts w:ascii="宋体" w:hAnsi="宋体"/>
          <w:highlight w:val="none"/>
        </w:rPr>
      </w:pPr>
      <w:r>
        <w:rPr>
          <w:rFonts w:ascii="宋体" w:hAnsi="宋体"/>
          <w:highlight w:val="none"/>
        </w:rPr>
        <w:t>致：</w:t>
      </w:r>
      <w:r>
        <w:rPr>
          <w:rFonts w:hint="eastAsia" w:ascii="宋体" w:hAnsi="宋体"/>
          <w:highlight w:val="none"/>
        </w:rPr>
        <w:t>南宁市金盾道路清障有限责任公司</w:t>
      </w:r>
    </w:p>
    <w:p>
      <w:pPr>
        <w:tabs>
          <w:tab w:val="left" w:pos="8364"/>
        </w:tabs>
        <w:snapToGrid w:val="0"/>
        <w:spacing w:line="360" w:lineRule="auto"/>
        <w:ind w:firstLine="420" w:firstLineChars="200"/>
        <w:rPr>
          <w:rFonts w:ascii="宋体" w:hAnsi="宋体"/>
          <w:highlight w:val="none"/>
        </w:rPr>
      </w:pPr>
      <w:r>
        <w:rPr>
          <w:rFonts w:ascii="宋体" w:hAnsi="宋体"/>
          <w:highlight w:val="none"/>
        </w:rPr>
        <w:t>本授权书声明：注册于</w:t>
      </w:r>
      <w:r>
        <w:rPr>
          <w:rFonts w:ascii="宋体" w:hAnsi="宋体"/>
          <w:highlight w:val="none"/>
          <w:u w:val="single"/>
        </w:rPr>
        <w:t>(</w:t>
      </w:r>
      <w:r>
        <w:rPr>
          <w:rFonts w:hint="eastAsia" w:ascii="宋体" w:hAnsi="宋体"/>
          <w:highlight w:val="none"/>
          <w:u w:val="single"/>
        </w:rPr>
        <w:t>注册地址</w:t>
      </w:r>
      <w:r>
        <w:rPr>
          <w:rFonts w:ascii="宋体" w:hAnsi="宋体"/>
          <w:highlight w:val="none"/>
          <w:u w:val="single"/>
        </w:rPr>
        <w:t>)</w:t>
      </w:r>
      <w:r>
        <w:rPr>
          <w:rFonts w:ascii="宋体" w:hAnsi="宋体"/>
          <w:highlight w:val="none"/>
        </w:rPr>
        <w:t>的</w:t>
      </w:r>
      <w:r>
        <w:rPr>
          <w:rFonts w:ascii="宋体" w:hAnsi="宋体"/>
          <w:highlight w:val="none"/>
          <w:u w:val="single"/>
        </w:rPr>
        <w:t>（比选申请人名称）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（被授权人的姓名、职务）</w:t>
      </w:r>
      <w:r>
        <w:rPr>
          <w:rFonts w:ascii="宋体" w:hAnsi="宋体"/>
          <w:highlight w:val="none"/>
        </w:rPr>
        <w:t>为本公司的合法代理人，就项目</w:t>
      </w:r>
      <w:r>
        <w:rPr>
          <w:rFonts w:hint="eastAsia" w:ascii="宋体" w:hAnsi="宋体"/>
          <w:highlight w:val="none"/>
        </w:rPr>
        <w:t>名称</w:t>
      </w:r>
      <w:r>
        <w:rPr>
          <w:rFonts w:ascii="宋体" w:hAnsi="宋体"/>
          <w:highlight w:val="none"/>
        </w:rPr>
        <w:t>为</w:t>
      </w:r>
      <w:r>
        <w:rPr>
          <w:rFonts w:ascii="宋体" w:hAnsi="宋体"/>
          <w:highlight w:val="none"/>
          <w:u w:val="single"/>
        </w:rPr>
        <w:t xml:space="preserve"> </w:t>
      </w:r>
      <w:r>
        <w:rPr>
          <w:rFonts w:hint="eastAsia" w:ascii="宋体" w:hAnsi="宋体"/>
          <w:highlight w:val="none"/>
          <w:u w:val="single"/>
        </w:rPr>
        <w:t xml:space="preserve">             </w:t>
      </w:r>
      <w:r>
        <w:rPr>
          <w:rFonts w:ascii="宋体" w:hAnsi="宋体"/>
          <w:highlight w:val="none"/>
          <w:u w:val="single"/>
        </w:rPr>
        <w:t xml:space="preserve">  </w:t>
      </w:r>
      <w:r>
        <w:rPr>
          <w:rFonts w:ascii="宋体" w:hAnsi="宋体"/>
          <w:highlight w:val="none"/>
        </w:rPr>
        <w:t>的项目的服务的比选申请和合同执行，作为比选申请人代表以本公司的名义处理一切与之有关的事宜。</w:t>
      </w:r>
    </w:p>
    <w:p>
      <w:pPr>
        <w:tabs>
          <w:tab w:val="left" w:pos="8364"/>
        </w:tabs>
        <w:snapToGrid w:val="0"/>
        <w:spacing w:line="360" w:lineRule="auto"/>
        <w:ind w:firstLine="420" w:firstLineChars="200"/>
        <w:rPr>
          <w:rFonts w:ascii="宋体" w:hAnsi="宋体"/>
          <w:highlight w:val="none"/>
        </w:rPr>
      </w:pPr>
    </w:p>
    <w:p>
      <w:pPr>
        <w:tabs>
          <w:tab w:val="left" w:pos="8364"/>
        </w:tabs>
        <w:snapToGrid w:val="0"/>
        <w:spacing w:line="360" w:lineRule="auto"/>
        <w:ind w:firstLine="420" w:firstLineChars="200"/>
        <w:rPr>
          <w:rFonts w:ascii="宋体" w:hAnsi="宋体"/>
          <w:highlight w:val="none"/>
        </w:rPr>
      </w:pPr>
      <w:r>
        <w:rPr>
          <w:rFonts w:ascii="宋体" w:hAnsi="宋体"/>
          <w:highlight w:val="none"/>
        </w:rPr>
        <w:t>本授权书于</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日签字生效，特此声明。</w:t>
      </w:r>
    </w:p>
    <w:p>
      <w:pPr>
        <w:tabs>
          <w:tab w:val="left" w:pos="8364"/>
        </w:tabs>
        <w:snapToGrid w:val="0"/>
        <w:spacing w:line="360" w:lineRule="auto"/>
        <w:ind w:firstLine="420" w:firstLineChars="200"/>
        <w:rPr>
          <w:rFonts w:ascii="宋体" w:hAnsi="宋体"/>
          <w:highlight w:val="none"/>
        </w:rPr>
      </w:pPr>
    </w:p>
    <w:p>
      <w:pPr>
        <w:tabs>
          <w:tab w:val="left" w:pos="8364"/>
        </w:tabs>
        <w:snapToGrid w:val="0"/>
        <w:spacing w:line="360" w:lineRule="auto"/>
        <w:ind w:firstLine="420" w:firstLineChars="200"/>
        <w:rPr>
          <w:rFonts w:ascii="宋体" w:hAnsi="宋体"/>
          <w:highlight w:val="none"/>
          <w:u w:val="single"/>
        </w:rPr>
      </w:pPr>
      <w:r>
        <w:rPr>
          <w:rFonts w:ascii="宋体" w:hAnsi="宋体"/>
          <w:highlight w:val="none"/>
        </w:rPr>
        <w:t>法定代表人签字或盖章：</w:t>
      </w:r>
      <w:r>
        <w:rPr>
          <w:rFonts w:hint="eastAsia" w:ascii="宋体" w:hAnsi="宋体"/>
          <w:highlight w:val="none"/>
          <w:u w:val="single"/>
        </w:rPr>
        <w:t xml:space="preserve">                    </w:t>
      </w:r>
    </w:p>
    <w:p>
      <w:pPr>
        <w:tabs>
          <w:tab w:val="left" w:pos="8364"/>
        </w:tabs>
        <w:snapToGrid w:val="0"/>
        <w:spacing w:line="360" w:lineRule="auto"/>
        <w:ind w:firstLine="420" w:firstLineChars="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spacing w:line="360" w:lineRule="auto"/>
        <w:ind w:firstLine="420" w:firstLineChars="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p>
    <w:p>
      <w:pPr>
        <w:tabs>
          <w:tab w:val="left" w:pos="8364"/>
        </w:tabs>
        <w:snapToGrid w:val="0"/>
        <w:spacing w:line="360" w:lineRule="auto"/>
        <w:ind w:firstLine="420" w:firstLineChars="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tabs>
          <w:tab w:val="left" w:pos="8364"/>
        </w:tabs>
        <w:snapToGrid w:val="0"/>
        <w:spacing w:line="360" w:lineRule="auto"/>
        <w:ind w:firstLine="420" w:firstLineChars="200"/>
        <w:rPr>
          <w:rFonts w:ascii="宋体" w:hAnsi="宋体"/>
          <w:highlight w:val="none"/>
        </w:rPr>
      </w:pPr>
    </w:p>
    <w:p>
      <w:pPr>
        <w:tabs>
          <w:tab w:val="left" w:pos="8364"/>
        </w:tabs>
        <w:snapToGrid w:val="0"/>
        <w:spacing w:line="360" w:lineRule="auto"/>
        <w:ind w:firstLine="420" w:firstLineChars="200"/>
        <w:rPr>
          <w:rFonts w:ascii="宋体" w:hAnsi="宋体"/>
          <w:highlight w:val="none"/>
          <w:u w:val="single"/>
        </w:rPr>
      </w:pPr>
      <w:r>
        <w:rPr>
          <w:rFonts w:ascii="宋体" w:hAnsi="宋体"/>
          <w:highlight w:val="none"/>
        </w:rPr>
        <w:t>比选申请人代表（被授权人）签字或盖章：</w:t>
      </w:r>
      <w:r>
        <w:rPr>
          <w:rFonts w:hint="eastAsia" w:ascii="宋体" w:hAnsi="宋体"/>
          <w:highlight w:val="none"/>
          <w:u w:val="single"/>
        </w:rPr>
        <w:t xml:space="preserve">                    </w:t>
      </w:r>
    </w:p>
    <w:p>
      <w:pPr>
        <w:tabs>
          <w:tab w:val="left" w:pos="8364"/>
        </w:tabs>
        <w:snapToGrid w:val="0"/>
        <w:spacing w:line="360" w:lineRule="auto"/>
        <w:ind w:firstLine="420" w:firstLineChars="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spacing w:line="360" w:lineRule="auto"/>
        <w:ind w:firstLine="420" w:firstLineChars="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r>
        <w:rPr>
          <w:rFonts w:hint="eastAsia" w:ascii="宋体" w:hAnsi="宋体"/>
          <w:highlight w:val="none"/>
        </w:rPr>
        <w:t xml:space="preserve"> </w:t>
      </w:r>
    </w:p>
    <w:p>
      <w:pPr>
        <w:tabs>
          <w:tab w:val="left" w:pos="8364"/>
        </w:tabs>
        <w:snapToGrid w:val="0"/>
        <w:spacing w:line="360" w:lineRule="auto"/>
        <w:ind w:right="753" w:firstLine="420" w:firstLineChars="200"/>
        <w:jc w:val="left"/>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tabs>
          <w:tab w:val="left" w:pos="8364"/>
        </w:tabs>
        <w:snapToGrid w:val="0"/>
        <w:spacing w:line="360" w:lineRule="auto"/>
        <w:jc w:val="left"/>
        <w:rPr>
          <w:rFonts w:ascii="宋体" w:hAnsi="宋体"/>
          <w:b/>
          <w:color w:val="000000" w:themeColor="text1"/>
          <w:kern w:val="0"/>
          <w:sz w:val="30"/>
          <w:szCs w:val="30"/>
          <w:highlight w:val="none"/>
          <w14:textFill>
            <w14:solidFill>
              <w14:schemeClr w14:val="tx1"/>
            </w14:solidFill>
          </w14:textFill>
        </w:rPr>
      </w:pPr>
    </w:p>
    <w:p>
      <w:pPr>
        <w:rPr>
          <w:rFonts w:ascii="宋体" w:hAnsi="宋体"/>
          <w:b/>
          <w:bCs/>
          <w:color w:val="000000" w:themeColor="text1"/>
          <w:kern w:val="0"/>
          <w:sz w:val="28"/>
          <w:szCs w:val="28"/>
          <w:highlight w:val="none"/>
          <w14:textFill>
            <w14:solidFill>
              <w14:schemeClr w14:val="tx1"/>
            </w14:solidFill>
          </w14:textFill>
        </w:rPr>
      </w:pPr>
      <w:bookmarkStart w:id="356" w:name="_Toc2475"/>
      <w:bookmarkStart w:id="357" w:name="_Toc880"/>
      <w:bookmarkStart w:id="358" w:name="_Toc18479"/>
      <w:bookmarkStart w:id="359" w:name="_Toc30136"/>
      <w:bookmarkStart w:id="360" w:name="_Toc29504"/>
      <w:bookmarkStart w:id="361" w:name="_Toc11434"/>
      <w:bookmarkStart w:id="362" w:name="_Toc1509"/>
      <w:bookmarkStart w:id="363" w:name="_Toc26749"/>
      <w:r>
        <w:rPr>
          <w:rFonts w:ascii="宋体" w:hAnsi="宋体"/>
          <w:b/>
          <w:bCs/>
          <w:color w:val="000000" w:themeColor="text1"/>
          <w:kern w:val="0"/>
          <w:sz w:val="28"/>
          <w:szCs w:val="28"/>
          <w:highlight w:val="none"/>
          <w14:textFill>
            <w14:solidFill>
              <w14:schemeClr w14:val="tx1"/>
            </w14:solidFill>
          </w14:textFill>
        </w:rPr>
        <w:br w:type="page"/>
      </w:r>
    </w:p>
    <w:p>
      <w:pPr>
        <w:ind w:right="753"/>
        <w:rPr>
          <w:rFonts w:ascii="宋体" w:hAnsi="宋体"/>
          <w:highlight w:val="none"/>
        </w:rPr>
      </w:pPr>
      <w:r>
        <w:rPr>
          <w:rFonts w:ascii="宋体" w:hAnsi="宋体"/>
          <w:b/>
          <w:bCs/>
          <w:color w:val="000000" w:themeColor="text1"/>
          <w:sz w:val="28"/>
          <w:szCs w:val="28"/>
          <w:highlight w:val="none"/>
          <w14:textFill>
            <w14:solidFill>
              <w14:schemeClr w14:val="tx1"/>
            </w14:solidFill>
          </w14:textFill>
        </w:rPr>
        <w:t>6.</w:t>
      </w:r>
      <w:r>
        <w:rPr>
          <w:rFonts w:hint="eastAsia" w:ascii="宋体" w:hAnsi="宋体"/>
          <w:b/>
          <w:bCs/>
          <w:color w:val="000000" w:themeColor="text1"/>
          <w:sz w:val="28"/>
          <w:szCs w:val="28"/>
          <w:highlight w:val="none"/>
          <w14:textFill>
            <w14:solidFill>
              <w14:schemeClr w14:val="tx1"/>
            </w14:solidFill>
          </w14:textFill>
        </w:rPr>
        <w:t>授权代理人身份证明文件（提供复印件加盖法人单位公章）</w:t>
      </w:r>
    </w:p>
    <w:bookmarkEnd w:id="356"/>
    <w:bookmarkEnd w:id="357"/>
    <w:bookmarkEnd w:id="358"/>
    <w:bookmarkEnd w:id="359"/>
    <w:bookmarkEnd w:id="360"/>
    <w:bookmarkEnd w:id="361"/>
    <w:bookmarkEnd w:id="362"/>
    <w:bookmarkEnd w:id="363"/>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授权代理</w:t>
      </w:r>
      <w:r>
        <w:rPr>
          <w:rFonts w:ascii="宋体" w:hAnsi="宋体" w:cs="宋体"/>
          <w:color w:val="000000" w:themeColor="text1"/>
          <w:szCs w:val="21"/>
          <w:highlight w:val="none"/>
          <w14:textFill>
            <w14:solidFill>
              <w14:schemeClr w14:val="tx1"/>
            </w14:solidFill>
          </w14:textFill>
        </w:rPr>
        <w:t>人身份证正反面</w:t>
      </w:r>
    </w:p>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autoSpaceDE w:val="0"/>
        <w:autoSpaceDN w:val="0"/>
        <w:adjustRightInd w:val="0"/>
        <w:spacing w:line="480" w:lineRule="auto"/>
        <w:rPr>
          <w:rFonts w:ascii="宋体" w:hAnsi="宋体"/>
          <w:b/>
          <w:bCs/>
          <w:color w:val="000000" w:themeColor="text1"/>
          <w:kern w:val="0"/>
          <w:sz w:val="28"/>
          <w:szCs w:val="28"/>
          <w:highlight w:val="none"/>
          <w14:textFill>
            <w14:solidFill>
              <w14:schemeClr w14:val="tx1"/>
            </w14:solidFill>
          </w14:textFill>
        </w:rPr>
      </w:pPr>
    </w:p>
    <w:p>
      <w:pPr>
        <w:jc w:val="left"/>
        <w:rPr>
          <w:rFonts w:ascii="宋体" w:hAnsi="宋体"/>
          <w:b/>
          <w:bCs/>
          <w:color w:val="000000" w:themeColor="text1"/>
          <w:sz w:val="28"/>
          <w:szCs w:val="28"/>
          <w:highlight w:val="none"/>
          <w14:textFill>
            <w14:solidFill>
              <w14:schemeClr w14:val="tx1"/>
            </w14:solidFill>
          </w14:textFill>
        </w:rPr>
      </w:pPr>
      <w:r>
        <w:rPr>
          <w:rFonts w:ascii="宋体" w:hAnsi="宋体"/>
          <w:b/>
          <w:bCs/>
          <w:color w:val="000000" w:themeColor="text1"/>
          <w:sz w:val="28"/>
          <w:szCs w:val="28"/>
          <w:highlight w:val="none"/>
          <w14:textFill>
            <w14:solidFill>
              <w14:schemeClr w14:val="tx1"/>
            </w14:solidFill>
          </w14:textFill>
        </w:rPr>
        <w:t>7.</w:t>
      </w:r>
      <w:r>
        <w:rPr>
          <w:rFonts w:hint="eastAsia" w:ascii="宋体" w:hAnsi="宋体" w:cs="宋体"/>
          <w:color w:val="000000" w:themeColor="text1"/>
          <w:sz w:val="28"/>
          <w:szCs w:val="28"/>
          <w:highlight w:val="none"/>
          <w14:textFill>
            <w14:solidFill>
              <w14:schemeClr w14:val="tx1"/>
            </w14:solidFill>
          </w14:textFill>
        </w:rPr>
        <w:br w:type="page"/>
      </w:r>
      <w:r>
        <w:rPr>
          <w:rFonts w:hint="eastAsia" w:ascii="宋体" w:hAnsi="宋体" w:cs="宋体"/>
          <w:color w:val="000000" w:themeColor="text1"/>
          <w:sz w:val="28"/>
          <w:szCs w:val="28"/>
          <w:highlight w:val="none"/>
          <w14:textFill>
            <w14:solidFill>
              <w14:schemeClr w14:val="tx1"/>
            </w14:solidFill>
          </w14:textFill>
        </w:rPr>
        <w:t>7.</w:t>
      </w:r>
      <w:r>
        <w:rPr>
          <w:rFonts w:ascii="宋体" w:hAnsi="宋体"/>
          <w:b/>
          <w:bCs/>
          <w:color w:val="000000" w:themeColor="text1"/>
          <w:sz w:val="28"/>
          <w:szCs w:val="28"/>
          <w:highlight w:val="none"/>
          <w14:textFill>
            <w14:solidFill>
              <w14:schemeClr w14:val="tx1"/>
            </w14:solidFill>
          </w14:textFill>
        </w:rPr>
        <w:t>在“信用中国”和“中国政府采购网”</w:t>
      </w:r>
      <w:r>
        <w:rPr>
          <w:rFonts w:hint="eastAsia" w:ascii="宋体" w:hAnsi="宋体"/>
          <w:b/>
          <w:bCs/>
          <w:color w:val="000000" w:themeColor="text1"/>
          <w:sz w:val="28"/>
          <w:szCs w:val="28"/>
          <w:highlight w:val="none"/>
          <w14:textFill>
            <w14:solidFill>
              <w14:schemeClr w14:val="tx1"/>
            </w14:solidFill>
          </w14:textFill>
        </w:rPr>
        <w:t>“中国执行信息公开网”</w:t>
      </w:r>
      <w:r>
        <w:rPr>
          <w:rFonts w:ascii="宋体" w:hAnsi="宋体"/>
          <w:b/>
          <w:bCs/>
          <w:color w:val="000000" w:themeColor="text1"/>
          <w:sz w:val="28"/>
          <w:szCs w:val="28"/>
          <w:highlight w:val="none"/>
          <w14:textFill>
            <w14:solidFill>
              <w14:schemeClr w14:val="tx1"/>
            </w14:solidFill>
          </w14:textFill>
        </w:rPr>
        <w:t>网站查询记录（复印件加盖公章）</w:t>
      </w:r>
    </w:p>
    <w:p>
      <w:pPr>
        <w:jc w:val="left"/>
        <w:rPr>
          <w:rFonts w:ascii="宋体" w:hAnsi="宋体" w:cs="宋体"/>
          <w:color w:val="000000" w:themeColor="text1"/>
          <w:sz w:val="28"/>
          <w:szCs w:val="28"/>
          <w:highlight w:val="none"/>
          <w14:textFill>
            <w14:solidFill>
              <w14:schemeClr w14:val="tx1"/>
            </w14:solidFill>
          </w14:textFill>
        </w:rPr>
      </w:pPr>
    </w:p>
    <w:p>
      <w:pPr>
        <w:jc w:val="left"/>
        <w:rPr>
          <w:rFonts w:ascii="宋体" w:hAnsi="宋体" w:cs="宋体"/>
          <w:color w:val="000000" w:themeColor="text1"/>
          <w:sz w:val="28"/>
          <w:szCs w:val="28"/>
          <w:highlight w:val="none"/>
          <w14:textFill>
            <w14:solidFill>
              <w14:schemeClr w14:val="tx1"/>
            </w14:solidFill>
          </w14:textFill>
        </w:rPr>
      </w:pPr>
    </w:p>
    <w:p>
      <w:pPr>
        <w:jc w:val="left"/>
        <w:rPr>
          <w:rFonts w:ascii="宋体" w:hAnsi="宋体" w:cs="宋体"/>
          <w:color w:val="000000" w:themeColor="text1"/>
          <w:szCs w:val="28"/>
          <w:highlight w:val="none"/>
          <w14:textFill>
            <w14:solidFill>
              <w14:schemeClr w14:val="tx1"/>
            </w14:solidFill>
          </w14:textFill>
        </w:rPr>
      </w:pPr>
      <w:r>
        <w:rPr>
          <w:rFonts w:ascii="宋体" w:hAnsi="宋体" w:cs="宋体"/>
          <w:color w:val="000000" w:themeColor="text1"/>
          <w:szCs w:val="28"/>
          <w:highlight w:val="none"/>
          <w14:textFill>
            <w14:solidFill>
              <w14:schemeClr w14:val="tx1"/>
            </w14:solidFill>
          </w14:textFill>
        </w:rPr>
        <w:br w:type="page"/>
      </w:r>
    </w:p>
    <w:p>
      <w:pPr>
        <w:pStyle w:val="14"/>
        <w:rPr>
          <w:highlight w:val="none"/>
        </w:rPr>
      </w:pPr>
    </w:p>
    <w:p>
      <w:pPr>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（封面格式）</w:t>
      </w: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rPr>
          <w:rFonts w:ascii="宋体" w:hAnsi="宋体" w:cs="宋体"/>
          <w:color w:val="000000" w:themeColor="text1"/>
          <w:sz w:val="32"/>
          <w:szCs w:val="32"/>
          <w:highlight w:val="none"/>
          <w:u w:val="single"/>
          <w14:textFill>
            <w14:solidFill>
              <w14:schemeClr w14:val="tx1"/>
            </w14:solidFill>
          </w14:textFill>
        </w:rPr>
      </w:pPr>
    </w:p>
    <w:p>
      <w:pPr>
        <w:jc w:val="center"/>
        <w:rPr>
          <w:color w:val="000000" w:themeColor="text1"/>
          <w:sz w:val="52"/>
          <w:szCs w:val="52"/>
          <w:highlight w:val="none"/>
          <w14:textFill>
            <w14:solidFill>
              <w14:schemeClr w14:val="tx1"/>
            </w14:solidFill>
          </w14:textFill>
        </w:rPr>
      </w:pPr>
      <w:r>
        <w:rPr>
          <w:rFonts w:hint="eastAsia"/>
          <w:color w:val="000000" w:themeColor="text1"/>
          <w:sz w:val="52"/>
          <w:szCs w:val="52"/>
          <w:highlight w:val="none"/>
          <w14:textFill>
            <w14:solidFill>
              <w14:schemeClr w14:val="tx1"/>
            </w14:solidFill>
          </w14:textFill>
        </w:rPr>
        <w:t xml:space="preserve">商 务 技 术 </w:t>
      </w:r>
      <w:r>
        <w:rPr>
          <w:color w:val="000000" w:themeColor="text1"/>
          <w:sz w:val="52"/>
          <w:szCs w:val="52"/>
          <w:highlight w:val="none"/>
          <w14:textFill>
            <w14:solidFill>
              <w14:schemeClr w14:val="tx1"/>
            </w14:solidFill>
          </w14:textFill>
        </w:rPr>
        <w:t>部</w:t>
      </w:r>
      <w:r>
        <w:rPr>
          <w:rFonts w:hint="eastAsia"/>
          <w:color w:val="000000" w:themeColor="text1"/>
          <w:sz w:val="52"/>
          <w:szCs w:val="52"/>
          <w:highlight w:val="none"/>
          <w14:textFill>
            <w14:solidFill>
              <w14:schemeClr w14:val="tx1"/>
            </w14:solidFill>
          </w14:textFill>
        </w:rPr>
        <w:t xml:space="preserve"> </w:t>
      </w:r>
      <w:r>
        <w:rPr>
          <w:color w:val="000000" w:themeColor="text1"/>
          <w:sz w:val="52"/>
          <w:szCs w:val="52"/>
          <w:highlight w:val="none"/>
          <w14:textFill>
            <w14:solidFill>
              <w14:schemeClr w14:val="tx1"/>
            </w14:solidFill>
          </w14:textFill>
        </w:rPr>
        <w:t>分</w:t>
      </w: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项目名称：</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比选申请人：</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（盖公司公章）</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法定代表人或委托代理人：</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（签字或盖章）</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电话/传真：</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地址：</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ind w:right="753"/>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年  月  日</w:t>
      </w:r>
    </w:p>
    <w:p>
      <w:pPr>
        <w:ind w:right="753"/>
        <w:jc w:val="left"/>
        <w:rPr>
          <w:rFonts w:ascii="宋体" w:hAnsi="宋体" w:cs="宋体"/>
          <w:color w:val="000000" w:themeColor="text1"/>
          <w:sz w:val="28"/>
          <w:szCs w:val="28"/>
          <w:highlight w:val="none"/>
          <w14:textFill>
            <w14:solidFill>
              <w14:schemeClr w14:val="tx1"/>
            </w14:solidFill>
          </w14:textFill>
        </w:rPr>
      </w:pPr>
    </w:p>
    <w:p>
      <w:pPr>
        <w:pStyle w:val="14"/>
        <w:rPr>
          <w:color w:val="000000" w:themeColor="text1"/>
          <w:highlight w:val="none"/>
          <w14:textFill>
            <w14:solidFill>
              <w14:schemeClr w14:val="tx1"/>
            </w14:solidFill>
          </w14:textFill>
        </w:rPr>
      </w:pPr>
    </w:p>
    <w:p>
      <w:pPr>
        <w:jc w:val="left"/>
        <w:rPr>
          <w:rFonts w:ascii="Arial" w:hAnsi="Arial"/>
          <w:b/>
          <w:color w:val="000000" w:themeColor="text1"/>
          <w:kern w:val="0"/>
          <w:sz w:val="28"/>
          <w:szCs w:val="20"/>
          <w:highlight w:val="none"/>
          <w14:textFill>
            <w14:solidFill>
              <w14:schemeClr w14:val="tx1"/>
            </w14:solidFill>
          </w14:textFill>
        </w:rPr>
      </w:pPr>
      <w:bookmarkStart w:id="364" w:name="_Toc31899"/>
      <w:bookmarkStart w:id="365" w:name="_Toc21144"/>
      <w:bookmarkStart w:id="366" w:name="_Toc1986"/>
      <w:bookmarkStart w:id="367" w:name="_Toc471482371"/>
      <w:bookmarkStart w:id="368" w:name="_Toc23508"/>
      <w:bookmarkStart w:id="369" w:name="_Toc31521"/>
      <w:bookmarkStart w:id="370" w:name="_Toc29536"/>
      <w:bookmarkStart w:id="371" w:name="_Toc26769"/>
      <w:bookmarkStart w:id="372" w:name="_Toc9379"/>
      <w:bookmarkStart w:id="373" w:name="_Toc31582"/>
      <w:bookmarkStart w:id="374" w:name="_Toc32510"/>
      <w:r>
        <w:rPr>
          <w:rFonts w:hint="eastAsia" w:ascii="Arial" w:hAnsi="Arial"/>
          <w:b/>
          <w:color w:val="000000" w:themeColor="text1"/>
          <w:kern w:val="0"/>
          <w:sz w:val="28"/>
          <w:szCs w:val="20"/>
          <w:highlight w:val="none"/>
          <w14:textFill>
            <w14:solidFill>
              <w14:schemeClr w14:val="tx1"/>
            </w14:solidFill>
          </w14:textFill>
        </w:rPr>
        <w:br w:type="page"/>
      </w:r>
    </w:p>
    <w:p>
      <w:pPr>
        <w:keepNext/>
        <w:keepLines/>
        <w:spacing w:line="360" w:lineRule="auto"/>
        <w:jc w:val="center"/>
        <w:outlineLvl w:val="1"/>
        <w:rPr>
          <w:rFonts w:ascii="Arial" w:hAnsi="Arial"/>
          <w:b/>
          <w:color w:val="000000" w:themeColor="text1"/>
          <w:kern w:val="0"/>
          <w:sz w:val="28"/>
          <w:szCs w:val="28"/>
          <w:highlight w:val="none"/>
          <w14:textFill>
            <w14:solidFill>
              <w14:schemeClr w14:val="tx1"/>
            </w14:solidFill>
          </w14:textFill>
        </w:rPr>
      </w:pPr>
      <w:bookmarkStart w:id="375" w:name="_Toc1266"/>
      <w:bookmarkStart w:id="376" w:name="_Toc9670"/>
      <w:bookmarkStart w:id="377" w:name="_Toc8299"/>
      <w:bookmarkStart w:id="378" w:name="_Toc8728"/>
      <w:bookmarkStart w:id="379" w:name="_Toc18139"/>
      <w:r>
        <w:rPr>
          <w:rFonts w:hint="eastAsia" w:ascii="Arial" w:hAnsi="Arial"/>
          <w:b/>
          <w:color w:val="000000" w:themeColor="text1"/>
          <w:kern w:val="0"/>
          <w:sz w:val="28"/>
          <w:szCs w:val="28"/>
          <w:highlight w:val="none"/>
          <w14:textFill>
            <w14:solidFill>
              <w14:schemeClr w14:val="tx1"/>
            </w14:solidFill>
          </w14:textFill>
        </w:rPr>
        <w:t>二、商务技术部分材料目录</w:t>
      </w:r>
      <w:bookmarkEnd w:id="364"/>
      <w:bookmarkEnd w:id="375"/>
      <w:bookmarkEnd w:id="376"/>
      <w:bookmarkEnd w:id="377"/>
      <w:bookmarkEnd w:id="378"/>
      <w:bookmarkEnd w:id="379"/>
    </w:p>
    <w:p>
      <w:pPr>
        <w:ind w:firstLine="420" w:firstLineChars="200"/>
        <w:jc w:val="left"/>
        <w:rPr>
          <w:rFonts w:ascii="宋体" w:hAnsi="宋体" w:cs="宋体"/>
          <w:color w:val="000000" w:themeColor="text1"/>
          <w:szCs w:val="21"/>
          <w:highlight w:val="none"/>
          <w14:textFill>
            <w14:solidFill>
              <w14:schemeClr w14:val="tx1"/>
            </w14:solidFill>
          </w14:textFill>
        </w:rPr>
      </w:pP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1）类似项目业绩表</w:t>
      </w:r>
      <w:r>
        <w:rPr>
          <w:rFonts w:hint="eastAsia" w:ascii="宋体" w:hAnsi="宋体" w:cs="宋体"/>
          <w:color w:val="000000" w:themeColor="text1"/>
          <w:szCs w:val="21"/>
          <w:highlight w:val="none"/>
          <w14:textFill>
            <w14:solidFill>
              <w14:schemeClr w14:val="tx1"/>
            </w14:solidFill>
          </w14:textFill>
        </w:rPr>
        <w:t>（格式自拟）；</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企业综合实力（格式自拟）；</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（3）拟投入人员（拟投入人员材料，格式自拟）；</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（4）承诺书（详见格式模板）</w:t>
      </w: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（5）服务方案（格式自拟）。</w:t>
      </w:r>
    </w:p>
    <w:p>
      <w:pPr>
        <w:ind w:firstLine="420" w:firstLineChars="200"/>
        <w:jc w:val="left"/>
        <w:rPr>
          <w:rFonts w:ascii="宋体" w:hAnsi="宋体" w:cs="宋体"/>
          <w:color w:val="000000" w:themeColor="text1"/>
          <w:szCs w:val="21"/>
          <w:highlight w:val="none"/>
          <w14:textFill>
            <w14:solidFill>
              <w14:schemeClr w14:val="tx1"/>
            </w14:solidFill>
          </w14:textFill>
        </w:rPr>
      </w:pPr>
    </w:p>
    <w:p>
      <w:pPr>
        <w:ind w:firstLine="420" w:firstLineChars="200"/>
        <w:jc w:val="left"/>
        <w:rPr>
          <w:rFonts w:ascii="宋体" w:hAnsi="宋体" w:cs="宋体"/>
          <w:color w:val="000000" w:themeColor="text1"/>
          <w:szCs w:val="21"/>
          <w:highlight w:val="none"/>
          <w14:textFill>
            <w14:solidFill>
              <w14:schemeClr w14:val="tx1"/>
            </w14:solidFill>
          </w14:textFill>
        </w:rPr>
      </w:pP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备注：以上材料均需加盖公司公章，并按照目录顺序编排，标注页码。</w:t>
      </w:r>
    </w:p>
    <w:bookmarkEnd w:id="365"/>
    <w:bookmarkEnd w:id="366"/>
    <w:bookmarkEnd w:id="367"/>
    <w:bookmarkEnd w:id="368"/>
    <w:bookmarkEnd w:id="369"/>
    <w:bookmarkEnd w:id="370"/>
    <w:bookmarkEnd w:id="371"/>
    <w:bookmarkEnd w:id="372"/>
    <w:bookmarkEnd w:id="373"/>
    <w:bookmarkEnd w:id="374"/>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ind w:right="753"/>
        <w:jc w:val="left"/>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bookmarkStart w:id="380" w:name="_Toc6862"/>
      <w:bookmarkStart w:id="381" w:name="_Toc30501"/>
      <w:bookmarkStart w:id="382" w:name="_Toc461525332"/>
      <w:bookmarkStart w:id="383" w:name="_Toc31867"/>
      <w:bookmarkStart w:id="384" w:name="_Toc19445"/>
    </w:p>
    <w:bookmarkEnd w:id="380"/>
    <w:bookmarkEnd w:id="381"/>
    <w:bookmarkEnd w:id="382"/>
    <w:p>
      <w:pPr>
        <w:jc w:val="left"/>
        <w:rPr>
          <w:rFonts w:ascii="宋体" w:hAnsi="宋体" w:cs="宋体"/>
          <w:color w:val="000000" w:themeColor="text1"/>
          <w:sz w:val="28"/>
          <w:szCs w:val="28"/>
          <w:highlight w:val="none"/>
          <w14:textFill>
            <w14:solidFill>
              <w14:schemeClr w14:val="tx1"/>
            </w14:solidFill>
          </w14:textFill>
        </w:rPr>
      </w:pPr>
      <w:bookmarkStart w:id="385" w:name="_Toc9617"/>
      <w:bookmarkStart w:id="386" w:name="_Toc25435"/>
      <w:bookmarkStart w:id="387" w:name="_Toc27920"/>
      <w:bookmarkStart w:id="388" w:name="_Toc12434"/>
      <w:bookmarkStart w:id="389" w:name="_Toc26103"/>
      <w:bookmarkStart w:id="390" w:name="_Toc15155"/>
      <w:bookmarkStart w:id="391" w:name="_Toc24947"/>
      <w:bookmarkStart w:id="392" w:name="_Toc5462"/>
      <w:r>
        <w:rPr>
          <w:rFonts w:hint="eastAsia" w:ascii="宋体" w:hAnsi="宋体" w:cs="宋体"/>
          <w:color w:val="000000" w:themeColor="text1"/>
          <w:sz w:val="28"/>
          <w:szCs w:val="28"/>
          <w:highlight w:val="none"/>
          <w14:textFill>
            <w14:solidFill>
              <w14:schemeClr w14:val="tx1"/>
            </w14:solidFill>
          </w14:textFill>
        </w:rPr>
        <w:br w:type="page"/>
      </w:r>
    </w:p>
    <w:p>
      <w:pPr>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4.承诺书</w:t>
      </w:r>
    </w:p>
    <w:p>
      <w:pPr>
        <w:numPr>
          <w:ilvl w:val="255"/>
          <w:numId w:val="0"/>
        </w:numPr>
        <w:spacing w:line="360"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南宁市金盾道路清障有限责任公司：</w:t>
      </w:r>
    </w:p>
    <w:p>
      <w:pPr>
        <w:numPr>
          <w:ilvl w:val="255"/>
          <w:numId w:val="0"/>
        </w:numPr>
        <w:spacing w:line="360" w:lineRule="auto"/>
        <w:ind w:firstLine="420" w:firstLineChars="200"/>
        <w:jc w:val="left"/>
        <w:rPr>
          <w:rFonts w:ascii="宋体" w:hAnsi="宋体"/>
          <w:color w:val="000000"/>
          <w:szCs w:val="21"/>
          <w:highlight w:val="none"/>
        </w:rPr>
      </w:pPr>
      <w:r>
        <w:rPr>
          <w:rFonts w:hint="eastAsia" w:ascii="宋体" w:hAnsi="宋体"/>
          <w:color w:val="000000"/>
          <w:szCs w:val="21"/>
          <w:highlight w:val="none"/>
        </w:rPr>
        <w:t>我方愿意参加贵方组织的</w:t>
      </w:r>
      <w:r>
        <w:rPr>
          <w:rFonts w:hint="eastAsia" w:ascii="宋体" w:hAnsi="宋体"/>
          <w:color w:val="000000"/>
          <w:szCs w:val="21"/>
          <w:highlight w:val="none"/>
          <w:u w:val="single"/>
        </w:rPr>
        <w:t>人才猎聘及人事代理服务采购项目</w:t>
      </w:r>
      <w:r>
        <w:rPr>
          <w:rFonts w:hint="eastAsia" w:ascii="宋体" w:hAnsi="宋体"/>
          <w:color w:val="000000"/>
          <w:szCs w:val="21"/>
          <w:highlight w:val="none"/>
        </w:rPr>
        <w:t>的比选，为便于贵方公正、择优地确定中选人，我方就本次比选申请有关事项郑重声明如下：</w:t>
      </w:r>
    </w:p>
    <w:p>
      <w:pPr>
        <w:numPr>
          <w:ilvl w:val="255"/>
          <w:numId w:val="0"/>
        </w:num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1.提供高效、专业的人才猎聘及人事代理服务，根据采购人需求，提供一站式人事代理服务。</w:t>
      </w:r>
    </w:p>
    <w:p>
      <w:pPr>
        <w:numPr>
          <w:ilvl w:val="255"/>
          <w:numId w:val="0"/>
        </w:num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2.为了保障我方服务质量，我方将定期与采购人进行沟通和反馈，及时了解采购人的需求和反馈意见，以便我方不断优化服务流程和提升服务质量。</w:t>
      </w:r>
    </w:p>
    <w:p>
      <w:pPr>
        <w:numPr>
          <w:ilvl w:val="255"/>
          <w:numId w:val="0"/>
        </w:numPr>
        <w:spacing w:line="360" w:lineRule="auto"/>
        <w:ind w:firstLine="420" w:firstLineChars="200"/>
        <w:jc w:val="left"/>
        <w:rPr>
          <w:rFonts w:ascii="宋体" w:hAnsi="宋体" w:cs="宋体"/>
          <w:b/>
          <w:bCs/>
          <w:color w:val="000000" w:themeColor="text1"/>
          <w:szCs w:val="21"/>
          <w:highlight w:val="none"/>
          <w14:textFill>
            <w14:solidFill>
              <w14:schemeClr w14:val="tx1"/>
            </w14:solidFill>
          </w14:textFill>
        </w:rPr>
      </w:pPr>
      <w:r>
        <w:rPr>
          <w:rFonts w:ascii="宋体" w:hAnsi="宋体" w:cs="宋体"/>
          <w:b/>
          <w:bCs/>
          <w:color w:val="000000" w:themeColor="text1"/>
          <w:szCs w:val="21"/>
          <w:highlight w:val="none"/>
          <w14:textFill>
            <w14:solidFill>
              <w14:schemeClr w14:val="tx1"/>
            </w14:solidFill>
          </w14:textFill>
        </w:rPr>
        <w:t>3.若采购人所申报的公路安全设施分项二级、公路机电工程分项二级资质，其中一项公告不通过，我方将继续为采购人提供办理“安全生产许可证”人才猎聘服务，但采购人无须再支付给我方涉及“安全生产许可证”相关的人才猎聘费用;若两顶均未通过，则我方将采购人所支付的全部款项在7个工作日内予以退还。</w:t>
      </w:r>
    </w:p>
    <w:p>
      <w:pPr>
        <w:numPr>
          <w:ilvl w:val="255"/>
          <w:numId w:val="0"/>
        </w:num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4.严格遵守国家法律法规和行业规范，坚决杜绝任何违法违规行为的发生。</w:t>
      </w:r>
    </w:p>
    <w:p>
      <w:pPr>
        <w:numPr>
          <w:ilvl w:val="255"/>
          <w:numId w:val="0"/>
        </w:num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特此承诺。</w:t>
      </w:r>
    </w:p>
    <w:p>
      <w:pPr>
        <w:numPr>
          <w:ilvl w:val="255"/>
          <w:numId w:val="0"/>
        </w:num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p>
    <w:p>
      <w:pPr>
        <w:numPr>
          <w:ilvl w:val="255"/>
          <w:numId w:val="0"/>
        </w:num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比选申请人（公章）</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法定代表人或其委托代理人（签字或盖章）：</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p>
    <w:p>
      <w:pPr>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br w:type="page"/>
      </w:r>
    </w:p>
    <w:p>
      <w:pPr>
        <w:numPr>
          <w:ilvl w:val="255"/>
          <w:numId w:val="0"/>
        </w:numPr>
        <w:jc w:val="left"/>
        <w:rPr>
          <w:rFonts w:ascii="宋体" w:hAnsi="宋体" w:cs="宋体"/>
          <w:color w:val="000000" w:themeColor="text1"/>
          <w:sz w:val="28"/>
          <w:szCs w:val="28"/>
          <w:highlight w:val="none"/>
          <w14:textFill>
            <w14:solidFill>
              <w14:schemeClr w14:val="tx1"/>
            </w14:solidFill>
          </w14:textFill>
        </w:rPr>
      </w:pPr>
    </w:p>
    <w:p>
      <w:pPr>
        <w:jc w:val="center"/>
        <w:rPr>
          <w:rFonts w:ascii="宋体" w:hAnsi="宋体" w:cs="宋体"/>
          <w:color w:val="000000" w:themeColor="text1"/>
          <w:szCs w:val="28"/>
          <w:highlight w:val="none"/>
          <w14:textFill>
            <w14:solidFill>
              <w14:schemeClr w14:val="tx1"/>
            </w14:solidFill>
          </w14:textFill>
        </w:rPr>
      </w:pPr>
    </w:p>
    <w:p>
      <w:pPr>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（封面格式）</w:t>
      </w: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rPr>
          <w:rFonts w:ascii="宋体" w:hAnsi="宋体" w:cs="宋体"/>
          <w:color w:val="000000" w:themeColor="text1"/>
          <w:sz w:val="32"/>
          <w:szCs w:val="32"/>
          <w:highlight w:val="none"/>
          <w:u w:val="single"/>
          <w14:textFill>
            <w14:solidFill>
              <w14:schemeClr w14:val="tx1"/>
            </w14:solidFill>
          </w14:textFill>
        </w:rPr>
      </w:pPr>
    </w:p>
    <w:p>
      <w:pPr>
        <w:jc w:val="center"/>
        <w:rPr>
          <w:color w:val="000000" w:themeColor="text1"/>
          <w:sz w:val="52"/>
          <w:szCs w:val="52"/>
          <w:highlight w:val="none"/>
          <w14:textFill>
            <w14:solidFill>
              <w14:schemeClr w14:val="tx1"/>
            </w14:solidFill>
          </w14:textFill>
        </w:rPr>
      </w:pPr>
      <w:r>
        <w:rPr>
          <w:rFonts w:hint="eastAsia"/>
          <w:color w:val="000000" w:themeColor="text1"/>
          <w:sz w:val="52"/>
          <w:szCs w:val="52"/>
          <w:highlight w:val="none"/>
          <w14:textFill>
            <w14:solidFill>
              <w14:schemeClr w14:val="tx1"/>
            </w14:solidFill>
          </w14:textFill>
        </w:rPr>
        <w:t xml:space="preserve">报 价 </w:t>
      </w:r>
      <w:r>
        <w:rPr>
          <w:color w:val="000000" w:themeColor="text1"/>
          <w:sz w:val="52"/>
          <w:szCs w:val="52"/>
          <w:highlight w:val="none"/>
          <w14:textFill>
            <w14:solidFill>
              <w14:schemeClr w14:val="tx1"/>
            </w14:solidFill>
          </w14:textFill>
        </w:rPr>
        <w:t>部</w:t>
      </w:r>
      <w:r>
        <w:rPr>
          <w:rFonts w:hint="eastAsia"/>
          <w:color w:val="000000" w:themeColor="text1"/>
          <w:sz w:val="52"/>
          <w:szCs w:val="52"/>
          <w:highlight w:val="none"/>
          <w14:textFill>
            <w14:solidFill>
              <w14:schemeClr w14:val="tx1"/>
            </w14:solidFill>
          </w14:textFill>
        </w:rPr>
        <w:t xml:space="preserve"> </w:t>
      </w:r>
      <w:r>
        <w:rPr>
          <w:color w:val="000000" w:themeColor="text1"/>
          <w:sz w:val="52"/>
          <w:szCs w:val="52"/>
          <w:highlight w:val="none"/>
          <w14:textFill>
            <w14:solidFill>
              <w14:schemeClr w14:val="tx1"/>
            </w14:solidFill>
          </w14:textFill>
        </w:rPr>
        <w:t>分</w:t>
      </w: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right="753"/>
        <w:jc w:val="left"/>
        <w:rPr>
          <w:rFonts w:ascii="宋体" w:hAnsi="宋体" w:cs="宋体"/>
          <w:color w:val="000000" w:themeColor="text1"/>
          <w:sz w:val="32"/>
          <w:szCs w:val="32"/>
          <w:highlight w:val="none"/>
          <w14:textFill>
            <w14:solidFill>
              <w14:schemeClr w14:val="tx1"/>
            </w14:solidFill>
          </w14:textFill>
        </w:rPr>
      </w:pP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项目名称：</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比选申请人：</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（盖公司公章）</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法定代表人或委托代理人：</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（签字或盖章）</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电话/传真：</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ind w:firstLine="840" w:firstLineChars="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地址：</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ind w:right="753"/>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年  月  日</w:t>
      </w:r>
    </w:p>
    <w:p>
      <w:pPr>
        <w:ind w:right="753"/>
        <w:jc w:val="left"/>
        <w:rPr>
          <w:rFonts w:ascii="宋体" w:hAnsi="宋体" w:cs="宋体"/>
          <w:color w:val="000000" w:themeColor="text1"/>
          <w:sz w:val="28"/>
          <w:szCs w:val="28"/>
          <w:highlight w:val="none"/>
          <w14:textFill>
            <w14:solidFill>
              <w14:schemeClr w14:val="tx1"/>
            </w14:solidFill>
          </w14:textFill>
        </w:rPr>
      </w:pPr>
      <w:bookmarkStart w:id="393" w:name="_Toc333307135"/>
    </w:p>
    <w:p>
      <w:pPr>
        <w:jc w:val="center"/>
        <w:rPr>
          <w:b/>
          <w:color w:val="000000" w:themeColor="text1"/>
          <w:highlight w:val="none"/>
          <w14:textFill>
            <w14:solidFill>
              <w14:schemeClr w14:val="tx1"/>
            </w14:solidFill>
          </w14:textFill>
        </w:rPr>
      </w:pPr>
      <w:bookmarkStart w:id="394" w:name="_Toc17346"/>
      <w:bookmarkStart w:id="395" w:name="_Toc5616"/>
      <w:bookmarkStart w:id="396" w:name="_Toc16542"/>
      <w:bookmarkStart w:id="397" w:name="_Toc471482372"/>
      <w:bookmarkStart w:id="398" w:name="_Toc23391"/>
      <w:bookmarkStart w:id="399" w:name="_Toc461525328"/>
      <w:bookmarkStart w:id="400" w:name="_Toc7127"/>
      <w:bookmarkStart w:id="401" w:name="_Toc21835"/>
      <w:bookmarkStart w:id="402" w:name="_Toc24408"/>
      <w:bookmarkStart w:id="403" w:name="_Toc30879"/>
      <w:bookmarkStart w:id="404" w:name="_Toc11015"/>
      <w:bookmarkStart w:id="405" w:name="_Toc2010"/>
      <w:bookmarkStart w:id="406" w:name="_Toc4901"/>
      <w:bookmarkStart w:id="407" w:name="_Toc24524"/>
      <w:r>
        <w:rPr>
          <w:rFonts w:hint="eastAsia"/>
          <w:b/>
          <w:color w:val="000000" w:themeColor="text1"/>
          <w:highlight w:val="none"/>
          <w14:textFill>
            <w14:solidFill>
              <w14:schemeClr w14:val="tx1"/>
            </w14:solidFill>
          </w14:textFill>
        </w:rPr>
        <w:br w:type="page"/>
      </w:r>
    </w:p>
    <w:p>
      <w:pPr>
        <w:pStyle w:val="4"/>
        <w:jc w:val="center"/>
        <w:rPr>
          <w:b/>
          <w:color w:val="000000" w:themeColor="text1"/>
          <w:highlight w:val="none"/>
          <w14:textFill>
            <w14:solidFill>
              <w14:schemeClr w14:val="tx1"/>
            </w14:solidFill>
          </w14:textFill>
        </w:rPr>
      </w:pPr>
      <w:bookmarkStart w:id="408" w:name="_Toc30677"/>
      <w:bookmarkStart w:id="409" w:name="_Toc1795"/>
      <w:bookmarkStart w:id="410" w:name="_Toc8536"/>
      <w:bookmarkStart w:id="411" w:name="_Toc4345"/>
      <w:bookmarkStart w:id="412" w:name="_Toc666"/>
      <w:r>
        <w:rPr>
          <w:rFonts w:hint="eastAsia"/>
          <w:b/>
          <w:color w:val="000000" w:themeColor="text1"/>
          <w:highlight w:val="none"/>
          <w14:textFill>
            <w14:solidFill>
              <w14:schemeClr w14:val="tx1"/>
            </w14:solidFill>
          </w14:textFill>
        </w:rPr>
        <w:t>三、报价部分材料目录</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bookmarkEnd w:id="393"/>
    <w:p>
      <w:pPr>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1.报价表；</w:t>
      </w:r>
    </w:p>
    <w:p>
      <w:pPr>
        <w:ind w:firstLine="420" w:firstLineChars="200"/>
        <w:jc w:val="left"/>
        <w:rPr>
          <w:rFonts w:ascii="宋体" w:hAnsi="宋体" w:cs="宋体"/>
          <w:color w:val="000000" w:themeColor="text1"/>
          <w:szCs w:val="21"/>
          <w:highlight w:val="none"/>
          <w14:textFill>
            <w14:solidFill>
              <w14:schemeClr w14:val="tx1"/>
            </w14:solidFill>
          </w14:textFill>
        </w:rPr>
      </w:pPr>
    </w:p>
    <w:p>
      <w:pPr>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备注：以上材料均需加盖公司公章，并按照目录顺序编排，标注页码。</w:t>
      </w:r>
    </w:p>
    <w:p>
      <w:pPr>
        <w:rPr>
          <w:color w:val="000000" w:themeColor="text1"/>
          <w:highlight w:val="none"/>
          <w14:textFill>
            <w14:solidFill>
              <w14:schemeClr w14:val="tx1"/>
            </w14:solidFill>
          </w14:textFill>
        </w:rPr>
      </w:pPr>
      <w:bookmarkStart w:id="413" w:name="_Toc1148"/>
      <w:bookmarkStart w:id="414" w:name="_Toc26609"/>
      <w:bookmarkStart w:id="415" w:name="_Toc25214"/>
      <w:bookmarkStart w:id="416" w:name="_Toc29457"/>
      <w:bookmarkStart w:id="417" w:name="_Toc6408"/>
      <w:bookmarkStart w:id="418" w:name="_Toc29844"/>
      <w:bookmarkStart w:id="419" w:name="_Toc25896"/>
      <w:bookmarkStart w:id="420" w:name="_Toc461525330"/>
      <w:bookmarkStart w:id="421" w:name="_Toc17958"/>
      <w:bookmarkStart w:id="422" w:name="_Toc9748"/>
      <w:bookmarkStart w:id="423" w:name="_Toc20415"/>
      <w:bookmarkStart w:id="424" w:name="_Toc3569"/>
      <w:r>
        <w:rPr>
          <w:rFonts w:hint="eastAsia"/>
          <w:color w:val="000000" w:themeColor="text1"/>
          <w:highlight w:val="none"/>
          <w14:textFill>
            <w14:solidFill>
              <w14:schemeClr w14:val="tx1"/>
            </w14:solidFill>
          </w14:textFill>
        </w:rPr>
        <w:br w:type="page"/>
      </w:r>
    </w:p>
    <w:p>
      <w:pPr>
        <w:pStyle w:val="5"/>
        <w:spacing w:before="0" w:after="0" w:line="360" w:lineRule="auto"/>
        <w:jc w:val="left"/>
        <w:rPr>
          <w:rFonts w:ascii="宋体" w:hAnsi="宋体"/>
          <w:b/>
          <w:bCs/>
          <w:color w:val="000000" w:themeColor="text1"/>
          <w:kern w:val="2"/>
          <w:szCs w:val="28"/>
          <w:highlight w:val="none"/>
          <w14:textFill>
            <w14:solidFill>
              <w14:schemeClr w14:val="tx1"/>
            </w14:solidFill>
          </w14:textFill>
        </w:rPr>
      </w:pPr>
      <w:r>
        <w:rPr>
          <w:rFonts w:hint="eastAsia" w:ascii="宋体" w:hAnsi="宋体"/>
          <w:b/>
          <w:bCs/>
          <w:color w:val="000000" w:themeColor="text1"/>
          <w:kern w:val="2"/>
          <w:szCs w:val="28"/>
          <w:highlight w:val="none"/>
          <w14:textFill>
            <w14:solidFill>
              <w14:schemeClr w14:val="tx1"/>
            </w14:solidFill>
          </w14:textFill>
        </w:rPr>
        <w:t>1.报价表</w:t>
      </w:r>
      <w:bookmarkEnd w:id="413"/>
      <w:bookmarkEnd w:id="414"/>
      <w:r>
        <w:rPr>
          <w:rFonts w:hint="eastAsia" w:ascii="宋体" w:hAnsi="宋体"/>
          <w:b/>
          <w:bCs/>
          <w:color w:val="000000" w:themeColor="text1"/>
          <w:kern w:val="2"/>
          <w:szCs w:val="28"/>
          <w:highlight w:val="none"/>
          <w14:textFill>
            <w14:solidFill>
              <w14:schemeClr w14:val="tx1"/>
            </w14:solidFill>
          </w14:textFill>
        </w:rPr>
        <w:t>（格式）</w:t>
      </w:r>
      <w:bookmarkEnd w:id="415"/>
      <w:bookmarkEnd w:id="416"/>
      <w:bookmarkEnd w:id="417"/>
      <w:bookmarkEnd w:id="418"/>
      <w:bookmarkEnd w:id="419"/>
      <w:bookmarkEnd w:id="420"/>
      <w:bookmarkEnd w:id="421"/>
      <w:bookmarkEnd w:id="422"/>
      <w:bookmarkEnd w:id="423"/>
      <w:bookmarkEnd w:id="424"/>
    </w:p>
    <w:p>
      <w:pPr>
        <w:spacing w:line="360" w:lineRule="auto"/>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报价单位：</w:t>
      </w:r>
    </w:p>
    <w:p>
      <w:pPr>
        <w:spacing w:line="360" w:lineRule="auto"/>
        <w:rPr>
          <w:color w:val="000000" w:themeColor="text1"/>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项目名称：</w:t>
      </w:r>
    </w:p>
    <w:tbl>
      <w:tblPr>
        <w:tblStyle w:val="28"/>
        <w:tblW w:w="8846" w:type="dxa"/>
        <w:tblInd w:w="93" w:type="dxa"/>
        <w:tblLayout w:type="autofit"/>
        <w:tblCellMar>
          <w:top w:w="0" w:type="dxa"/>
          <w:left w:w="108" w:type="dxa"/>
          <w:bottom w:w="0" w:type="dxa"/>
          <w:right w:w="108" w:type="dxa"/>
        </w:tblCellMar>
      </w:tblPr>
      <w:tblGrid>
        <w:gridCol w:w="1722"/>
        <w:gridCol w:w="1914"/>
        <w:gridCol w:w="936"/>
        <w:gridCol w:w="1368"/>
        <w:gridCol w:w="1619"/>
        <w:gridCol w:w="1287"/>
      </w:tblGrid>
      <w:tr>
        <w:tblPrEx>
          <w:tblCellMar>
            <w:top w:w="0" w:type="dxa"/>
            <w:left w:w="108" w:type="dxa"/>
            <w:bottom w:w="0" w:type="dxa"/>
            <w:right w:w="108" w:type="dxa"/>
          </w:tblCellMar>
        </w:tblPrEx>
        <w:trPr>
          <w:trHeight w:val="660" w:hRule="atLeast"/>
        </w:trPr>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专业人员</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专业级别</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数量</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单价</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金额</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税率</w:t>
            </w:r>
          </w:p>
        </w:tc>
      </w:tr>
      <w:tr>
        <w:tblPrEx>
          <w:tblCellMar>
            <w:top w:w="0" w:type="dxa"/>
            <w:left w:w="108" w:type="dxa"/>
            <w:bottom w:w="0" w:type="dxa"/>
            <w:right w:w="108" w:type="dxa"/>
          </w:tblCellMar>
        </w:tblPrEx>
        <w:trPr>
          <w:trHeight w:val="820" w:hRule="atLeast"/>
        </w:trPr>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ascii="宋体" w:hAnsi="宋体" w:cs="宋体"/>
                <w:color w:val="000000"/>
                <w:kern w:val="0"/>
                <w:szCs w:val="21"/>
                <w:highlight w:val="none"/>
                <w:lang w:bidi="ar"/>
              </w:rPr>
              <w:t>XX</w:t>
            </w:r>
            <w:r>
              <w:rPr>
                <w:rFonts w:hint="eastAsia" w:ascii="宋体" w:hAnsi="宋体" w:cs="宋体"/>
                <w:color w:val="000000"/>
                <w:kern w:val="0"/>
                <w:szCs w:val="21"/>
                <w:highlight w:val="none"/>
                <w:lang w:bidi="ar"/>
              </w:rPr>
              <w:t>证</w:t>
            </w:r>
            <w:r>
              <w:rPr>
                <w:rFonts w:ascii="宋体" w:hAnsi="宋体" w:cs="宋体"/>
                <w:color w:val="000000"/>
                <w:kern w:val="0"/>
                <w:szCs w:val="21"/>
                <w:highlight w:val="none"/>
                <w:lang w:bidi="ar"/>
              </w:rPr>
              <w:t>/</w:t>
            </w:r>
            <w:r>
              <w:rPr>
                <w:rFonts w:hint="eastAsia" w:ascii="宋体" w:hAnsi="宋体" w:cs="宋体"/>
                <w:color w:val="000000"/>
                <w:kern w:val="0"/>
                <w:szCs w:val="21"/>
                <w:highlight w:val="none"/>
                <w:lang w:bidi="ar"/>
              </w:rPr>
              <w:t>技术等级</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r>
      <w:tr>
        <w:tblPrEx>
          <w:tblCellMar>
            <w:top w:w="0" w:type="dxa"/>
            <w:left w:w="108" w:type="dxa"/>
            <w:bottom w:w="0" w:type="dxa"/>
            <w:right w:w="108" w:type="dxa"/>
          </w:tblCellMar>
        </w:tblPrEx>
        <w:trPr>
          <w:trHeight w:val="1320" w:hRule="atLeast"/>
        </w:trPr>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ascii="宋体" w:hAnsi="宋体" w:cs="宋体"/>
                <w:color w:val="000000"/>
                <w:kern w:val="0"/>
                <w:szCs w:val="21"/>
                <w:highlight w:val="none"/>
                <w:lang w:bidi="ar"/>
              </w:rPr>
              <w:t>XX</w:t>
            </w:r>
            <w:r>
              <w:rPr>
                <w:rFonts w:hint="eastAsia" w:ascii="宋体" w:hAnsi="宋体" w:cs="宋体"/>
                <w:color w:val="000000"/>
                <w:kern w:val="0"/>
                <w:szCs w:val="21"/>
                <w:highlight w:val="none"/>
                <w:lang w:bidi="ar"/>
              </w:rPr>
              <w:t>证</w:t>
            </w:r>
            <w:r>
              <w:rPr>
                <w:rFonts w:ascii="宋体" w:hAnsi="宋体" w:cs="宋体"/>
                <w:color w:val="000000"/>
                <w:kern w:val="0"/>
                <w:szCs w:val="21"/>
                <w:highlight w:val="none"/>
                <w:lang w:bidi="ar"/>
              </w:rPr>
              <w:t>/技术等级</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r>
      <w:tr>
        <w:tblPrEx>
          <w:tblCellMar>
            <w:top w:w="0" w:type="dxa"/>
            <w:left w:w="108" w:type="dxa"/>
            <w:bottom w:w="0" w:type="dxa"/>
            <w:right w:w="108" w:type="dxa"/>
          </w:tblCellMar>
        </w:tblPrEx>
        <w:trPr>
          <w:trHeight w:val="660" w:hRule="atLeast"/>
        </w:trPr>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r>
      <w:tr>
        <w:tblPrEx>
          <w:tblCellMar>
            <w:top w:w="0" w:type="dxa"/>
            <w:left w:w="108" w:type="dxa"/>
            <w:bottom w:w="0" w:type="dxa"/>
            <w:right w:w="108" w:type="dxa"/>
          </w:tblCellMar>
        </w:tblPrEx>
        <w:trPr>
          <w:trHeight w:val="660" w:hRule="atLeast"/>
        </w:trPr>
        <w:tc>
          <w:tcPr>
            <w:tcW w:w="3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人员费用合计（人民币）：</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highlight w:val="none"/>
              </w:rPr>
            </w:pPr>
            <w:r>
              <w:rPr>
                <w:rFonts w:hint="eastAsia" w:ascii="宋体" w:hAnsi="宋体" w:cs="宋体"/>
                <w:color w:val="000000"/>
                <w:kern w:val="0"/>
                <w:szCs w:val="21"/>
                <w:highlight w:val="none"/>
                <w:lang w:bidi="ar"/>
              </w:rPr>
              <w:t>元</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元</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highlight w:val="none"/>
                <w:lang w:bidi="ar"/>
              </w:rPr>
            </w:pPr>
          </w:p>
        </w:tc>
      </w:tr>
    </w:tbl>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p>
    <w:p>
      <w:pPr>
        <w:keepNext/>
        <w:keepLines/>
        <w:widowControl/>
        <w:spacing w:line="360" w:lineRule="auto"/>
        <w:ind w:firstLine="420" w:firstLineChars="200"/>
        <w:textAlignment w:val="baseline"/>
        <w:rPr>
          <w:rStyle w:val="54"/>
          <w:rFonts w:ascii="宋体" w:hAnsi="宋体" w:cs="宋体"/>
          <w:szCs w:val="21"/>
          <w:highlight w:val="none"/>
        </w:rPr>
      </w:pPr>
      <w:r>
        <w:rPr>
          <w:rStyle w:val="54"/>
          <w:rFonts w:ascii="宋体" w:hAnsi="宋体" w:cs="宋体"/>
          <w:szCs w:val="21"/>
          <w:highlight w:val="none"/>
        </w:rPr>
        <w:t>备注：</w:t>
      </w:r>
    </w:p>
    <w:p>
      <w:pPr>
        <w:keepNext/>
        <w:keepLines/>
        <w:widowControl/>
        <w:spacing w:line="360" w:lineRule="auto"/>
        <w:ind w:firstLine="420" w:firstLineChars="200"/>
        <w:jc w:val="left"/>
        <w:textAlignment w:val="baseline"/>
        <w:rPr>
          <w:rStyle w:val="30"/>
          <w:rFonts w:ascii="宋体" w:hAnsi="宋体" w:cs="宋体"/>
          <w:color w:val="000000" w:themeColor="text1"/>
          <w:sz w:val="24"/>
          <w:szCs w:val="21"/>
          <w:highlight w:val="none"/>
          <w14:textFill>
            <w14:solidFill>
              <w14:schemeClr w14:val="tx1"/>
            </w14:solidFill>
          </w14:textFill>
        </w:rPr>
      </w:pPr>
      <w:r>
        <w:rPr>
          <w:rFonts w:ascii="宋体" w:hAnsi="宋体" w:cs="宋体"/>
          <w:color w:val="000000" w:themeColor="text1"/>
          <w:sz w:val="21"/>
          <w:szCs w:val="21"/>
          <w:highlight w:val="none"/>
          <w14:textFill>
            <w14:solidFill>
              <w14:schemeClr w14:val="tx1"/>
            </w14:solidFill>
          </w14:textFill>
        </w:rPr>
        <w:t>1、</w:t>
      </w:r>
      <w:r>
        <w:rPr>
          <w:rStyle w:val="30"/>
          <w:rFonts w:hint="eastAsia" w:ascii="宋体" w:hAnsi="宋体" w:cs="宋体"/>
          <w:color w:val="000000" w:themeColor="text1"/>
          <w:sz w:val="24"/>
          <w:szCs w:val="21"/>
          <w:highlight w:val="none"/>
          <w14:textFill>
            <w14:solidFill>
              <w14:schemeClr w14:val="tx1"/>
            </w14:solidFill>
          </w14:textFill>
        </w:rPr>
        <w:t>人数及专业等级仅供参考，猎聘的人员需符合办理公路安全设施分项二级、公路机电工程分项二级、安全生产许可证资质要求。</w:t>
      </w:r>
    </w:p>
    <w:p>
      <w:pPr>
        <w:keepNext/>
        <w:keepLines/>
        <w:widowControl/>
        <w:spacing w:line="360" w:lineRule="auto"/>
        <w:ind w:firstLine="420" w:firstLineChars="200"/>
        <w:jc w:val="left"/>
        <w:textAlignment w:val="baseline"/>
        <w:rPr>
          <w:rFonts w:ascii="宋体" w:hAnsi="宋体" w:cs="宋体"/>
          <w:color w:val="000000" w:themeColor="text1"/>
          <w:sz w:val="21"/>
          <w:szCs w:val="21"/>
          <w:highlight w:val="none"/>
          <w14:textFill>
            <w14:solidFill>
              <w14:schemeClr w14:val="tx1"/>
            </w14:solidFill>
          </w14:textFill>
        </w:rPr>
      </w:pPr>
      <w:r>
        <w:rPr>
          <w:rFonts w:ascii="宋体" w:hAnsi="宋体" w:cs="宋体"/>
          <w:color w:val="000000" w:themeColor="text1"/>
          <w:sz w:val="21"/>
          <w:szCs w:val="21"/>
          <w:highlight w:val="none"/>
          <w14:textFill>
            <w14:solidFill>
              <w14:schemeClr w14:val="tx1"/>
            </w14:solidFill>
          </w14:textFill>
        </w:rPr>
        <w:t>2、如资质申报相关规定政策变化，乙方需随政策变化提供符合资质申报的相应人员，合同总价不变，</w:t>
      </w:r>
      <w:r>
        <w:rPr>
          <w:rFonts w:hint="eastAsia" w:ascii="宋体" w:hAnsi="宋体" w:cs="宋体"/>
          <w:color w:val="000000" w:themeColor="text1"/>
          <w:sz w:val="21"/>
          <w:szCs w:val="21"/>
          <w:highlight w:val="none"/>
          <w14:textFill>
            <w14:solidFill>
              <w14:schemeClr w14:val="tx1"/>
            </w14:solidFill>
          </w14:textFill>
        </w:rPr>
        <w:t>以上人员可共同用于申请本合同涉及的不同资质</w:t>
      </w:r>
      <w:r>
        <w:rPr>
          <w:rStyle w:val="30"/>
          <w:rFonts w:hint="eastAsia" w:ascii="宋体" w:hAnsi="宋体" w:cs="宋体"/>
          <w:color w:val="000000" w:themeColor="text1"/>
          <w:sz w:val="24"/>
          <w:szCs w:val="21"/>
          <w:highlight w:val="none"/>
          <w14:textFill>
            <w14:solidFill>
              <w14:schemeClr w14:val="tx1"/>
            </w14:solidFill>
          </w14:textFill>
        </w:rPr>
        <w:t>。</w:t>
      </w:r>
    </w:p>
    <w:p>
      <w:pPr>
        <w:keepNext/>
        <w:keepLines/>
        <w:widowControl/>
        <w:spacing w:line="360" w:lineRule="auto"/>
        <w:ind w:firstLine="420" w:firstLineChars="200"/>
        <w:jc w:val="left"/>
        <w:textAlignment w:val="baseline"/>
        <w:rPr>
          <w:rFonts w:ascii="宋体" w:hAnsi="宋体" w:cs="宋体"/>
          <w:color w:val="000000" w:themeColor="text1"/>
          <w:sz w:val="21"/>
          <w:szCs w:val="21"/>
          <w:highlight w:val="none"/>
          <w14:textFill>
            <w14:solidFill>
              <w14:schemeClr w14:val="tx1"/>
            </w14:solidFill>
          </w14:textFill>
        </w:rPr>
      </w:pPr>
      <w:r>
        <w:rPr>
          <w:rFonts w:ascii="宋体" w:hAnsi="宋体" w:cs="宋体"/>
          <w:color w:val="000000" w:themeColor="text1"/>
          <w:sz w:val="21"/>
          <w:szCs w:val="21"/>
          <w:highlight w:val="none"/>
          <w14:textFill>
            <w14:solidFill>
              <w14:schemeClr w14:val="tx1"/>
            </w14:solidFill>
          </w14:textFill>
        </w:rPr>
        <w:t>3、该费用</w:t>
      </w:r>
      <w:r>
        <w:rPr>
          <w:rFonts w:hint="eastAsia" w:ascii="宋体" w:hAnsi="宋体" w:cs="宋体"/>
          <w:color w:val="000000" w:themeColor="text1"/>
          <w:sz w:val="21"/>
          <w:szCs w:val="21"/>
          <w:highlight w:val="none"/>
          <w14:textFill>
            <w14:solidFill>
              <w14:schemeClr w14:val="tx1"/>
            </w14:solidFill>
          </w14:textFill>
        </w:rPr>
        <w:t>包括但不限于猎聘服务费、拟猎聘人员申报资质期间的社保、工资及绩效。</w:t>
      </w:r>
    </w:p>
    <w:p>
      <w:pPr>
        <w:keepNext/>
        <w:keepLines/>
        <w:widowControl/>
        <w:spacing w:line="360" w:lineRule="auto"/>
        <w:ind w:firstLine="420" w:firstLineChars="2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4、本表根据需要可扩展。未按照本比选报价表的格式及要求填写比选报价表的，将视为不满足比选文件要求，从而导致该比选申请人竞选无效。</w:t>
      </w:r>
    </w:p>
    <w:p>
      <w:pPr>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p>
    <w:p>
      <w:pPr>
        <w:spacing w:line="360" w:lineRule="auto"/>
        <w:jc w:val="left"/>
        <w:rPr>
          <w:rFonts w:ascii="宋体" w:hAnsi="宋体" w:cs="宋体"/>
          <w:color w:val="000000" w:themeColor="text1"/>
          <w:sz w:val="28"/>
          <w:szCs w:val="28"/>
          <w:highlight w:val="none"/>
          <w14:textFill>
            <w14:solidFill>
              <w14:schemeClr w14:val="tx1"/>
            </w14:solidFill>
          </w14:textFill>
        </w:rPr>
      </w:pP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比选申请人（公章）：</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法定代表人或其委托代理人（签字或盖章）：</w:t>
      </w:r>
    </w:p>
    <w:p>
      <w:pPr>
        <w:spacing w:line="360" w:lineRule="auto"/>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bookmarkEnd w:id="383"/>
    <w:bookmarkEnd w:id="384"/>
    <w:bookmarkEnd w:id="385"/>
    <w:bookmarkEnd w:id="386"/>
    <w:bookmarkEnd w:id="387"/>
    <w:bookmarkEnd w:id="388"/>
    <w:bookmarkEnd w:id="389"/>
    <w:bookmarkEnd w:id="390"/>
    <w:bookmarkEnd w:id="391"/>
    <w:bookmarkEnd w:id="392"/>
    <w:p>
      <w:pPr>
        <w:rPr>
          <w:color w:val="000000" w:themeColor="text1"/>
          <w:highlight w:val="none"/>
          <w14:textFill>
            <w14:solidFill>
              <w14:schemeClr w14:val="tx1"/>
            </w14:solidFill>
          </w14:textFill>
        </w:rPr>
      </w:pPr>
      <w:bookmarkStart w:id="425" w:name="_Toc471482373"/>
      <w:bookmarkStart w:id="426" w:name="_Toc1385"/>
      <w:r>
        <w:rPr>
          <w:rFonts w:hint="eastAsia"/>
          <w:color w:val="000000" w:themeColor="text1"/>
          <w:highlight w:val="none"/>
          <w14:textFill>
            <w14:solidFill>
              <w14:schemeClr w14:val="tx1"/>
            </w14:solidFill>
          </w14:textFill>
        </w:rPr>
        <w:br w:type="page"/>
      </w:r>
    </w:p>
    <w:p>
      <w:pPr>
        <w:pStyle w:val="2"/>
        <w:spacing w:before="0" w:after="0" w:line="360" w:lineRule="auto"/>
        <w:rPr>
          <w:color w:val="000000" w:themeColor="text1"/>
          <w:highlight w:val="none"/>
          <w14:textFill>
            <w14:solidFill>
              <w14:schemeClr w14:val="tx1"/>
            </w14:solidFill>
          </w14:textFill>
        </w:rPr>
      </w:pPr>
      <w:bookmarkStart w:id="427" w:name="_Toc15991"/>
      <w:bookmarkStart w:id="428" w:name="_Toc29534"/>
      <w:bookmarkStart w:id="429" w:name="_Toc26589"/>
      <w:bookmarkStart w:id="430" w:name="_Toc5967"/>
      <w:bookmarkStart w:id="431" w:name="_Toc21171"/>
      <w:r>
        <w:rPr>
          <w:rFonts w:hint="eastAsia"/>
          <w:color w:val="000000" w:themeColor="text1"/>
          <w:highlight w:val="none"/>
          <w14:textFill>
            <w14:solidFill>
              <w14:schemeClr w14:val="tx1"/>
            </w14:solidFill>
          </w14:textFill>
        </w:rPr>
        <w:t>第四章 评比办法</w:t>
      </w:r>
      <w:bookmarkEnd w:id="425"/>
      <w:bookmarkEnd w:id="426"/>
      <w:bookmarkEnd w:id="427"/>
      <w:bookmarkEnd w:id="428"/>
      <w:bookmarkEnd w:id="429"/>
      <w:bookmarkEnd w:id="430"/>
      <w:bookmarkEnd w:id="431"/>
    </w:p>
    <w:p>
      <w:pPr>
        <w:pStyle w:val="4"/>
        <w:spacing w:before="0" w:after="0" w:line="240" w:lineRule="auto"/>
        <w:jc w:val="center"/>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32" w:name="_Toc3898"/>
      <w:bookmarkStart w:id="433" w:name="_Toc2433"/>
      <w:bookmarkStart w:id="434" w:name="_Toc17031"/>
      <w:bookmarkStart w:id="435" w:name="_Toc2996"/>
      <w:bookmarkStart w:id="436" w:name="_Toc11833"/>
      <w:bookmarkStart w:id="437" w:name="_Toc8581"/>
      <w:bookmarkStart w:id="438" w:name="_Toc17039"/>
      <w:bookmarkStart w:id="439" w:name="_Toc16236"/>
      <w:bookmarkStart w:id="440" w:name="_Toc31412"/>
      <w:bookmarkStart w:id="441" w:name="_Toc28938"/>
      <w:bookmarkStart w:id="442" w:name="_Toc471482374"/>
      <w:bookmarkStart w:id="443" w:name="_Toc10015"/>
      <w:bookmarkStart w:id="444" w:name="_Toc7201"/>
      <w:bookmarkStart w:id="445" w:name="_Toc22176"/>
      <w:bookmarkStart w:id="446" w:name="_Toc3695"/>
      <w:bookmarkStart w:id="447" w:name="_Toc8513"/>
      <w:r>
        <w:rPr>
          <w:rFonts w:hint="eastAsia" w:asciiTheme="minorEastAsia" w:hAnsiTheme="minorEastAsia" w:eastAsiaTheme="minorEastAsia" w:cstheme="minorEastAsia"/>
          <w:color w:val="000000" w:themeColor="text1"/>
          <w:szCs w:val="28"/>
          <w:highlight w:val="none"/>
          <w14:textFill>
            <w14:solidFill>
              <w14:schemeClr w14:val="tx1"/>
            </w14:solidFill>
          </w14:textFill>
        </w:rPr>
        <w:t>一、综合评分办法</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比委员会首先对比选申请人进行资格审查，评比委员会对通过资格审查的比选申请人按相应的评分细则对商务技术部分、报价部分各自进行打分后进行汇总，比选申请人的最终得分是评比委员会每一位成员综合得分计算出来的算术平均值。</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1.资格评审：对比选申请人的资格条件、比选申请文件的完整性和有效性、比选申请文件的有效期等方面进行审查。通过资格评审的比选申请文件进入商务技术、报价评审。</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商务技术、报价评审：由比选评比委员会按照比选文件的要求，对照比选申请文件的应答进行比较，并对各比选申请文件的商务技术、报价内容进行评审，且商务技术部分、报价部分由比选评比委员会讨论定档后进行打分。</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如比选申请文件中有含义不明确，对同类问题表达不一致，或有明显的文字、数字计算错误的，评比委员会可要求比选申请人进行必要的澄清、说明或补正，并详细记录，但不得改变比选申请文件的实质内容。评比委员会对比选申请人提交的澄清、说明或补正有疑问的，可以要求比选申请人进一步澄清、说明或补正，直至满足比选评比委员会的要求。如比选申请人拒绝接受澄清、说明或补正，该报价做无效报价处理。</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（1）如果数字表示的金额和用文字表示的金额不一致时，应以文字表示的金额为准；</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（2）当单价与数量的乘积与合价不一致时，以合价为准，并调整单价；</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（3）当合价与报价总价不一致时，以报价总价为准，调整相关合价；</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（4）评审期间，比选评比委员会不接受任何比选申请人主动提出的对报价及单价、合价的调整；</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（5）其它未尽事宜，由评比委员会审议确定(如意见不一致时，以记名方式投票确定)。</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r>
        <w:rPr>
          <w:rFonts w:ascii="宋体" w:hAnsi="宋体" w:cs="宋体"/>
          <w:color w:val="000000" w:themeColor="text1"/>
          <w:szCs w:val="21"/>
          <w:highlight w:val="none"/>
          <w14:textFill>
            <w14:solidFill>
              <w14:schemeClr w14:val="tx1"/>
            </w14:solidFill>
          </w14:textFill>
        </w:rPr>
        <w:t>在评审过程中，</w:t>
      </w:r>
      <w:r>
        <w:rPr>
          <w:rFonts w:hint="eastAsia" w:ascii="宋体" w:hAnsi="宋体" w:cs="宋体"/>
          <w:color w:val="000000" w:themeColor="text1"/>
          <w:szCs w:val="21"/>
          <w:highlight w:val="none"/>
          <w14:textFill>
            <w14:solidFill>
              <w14:schemeClr w14:val="tx1"/>
            </w14:solidFill>
          </w14:textFill>
        </w:rPr>
        <w:t>评比委员会</w:t>
      </w:r>
      <w:r>
        <w:rPr>
          <w:rFonts w:ascii="宋体" w:hAnsi="宋体" w:cs="宋体"/>
          <w:color w:val="000000" w:themeColor="text1"/>
          <w:szCs w:val="21"/>
          <w:highlight w:val="none"/>
          <w14:textFill>
            <w14:solidFill>
              <w14:schemeClr w14:val="tx1"/>
            </w14:solidFill>
          </w14:textFill>
        </w:rPr>
        <w:t>发现投标人的报价明显低于其他投标报价，使得其投标报价可能低于其成本的，应当要求该比选申请人做出书面说明并提供相关证明材料。比选申请人不能合理说明或者不能提供相关证明材料的，由</w:t>
      </w:r>
      <w:r>
        <w:rPr>
          <w:rFonts w:hint="eastAsia" w:ascii="宋体" w:hAnsi="宋体" w:cs="宋体"/>
          <w:color w:val="000000" w:themeColor="text1"/>
          <w:szCs w:val="21"/>
          <w:highlight w:val="none"/>
          <w14:textFill>
            <w14:solidFill>
              <w14:schemeClr w14:val="tx1"/>
            </w14:solidFill>
          </w14:textFill>
        </w:rPr>
        <w:t>评比委员会</w:t>
      </w:r>
      <w:r>
        <w:rPr>
          <w:rFonts w:ascii="宋体" w:hAnsi="宋体" w:cs="宋体"/>
          <w:color w:val="000000" w:themeColor="text1"/>
          <w:szCs w:val="21"/>
          <w:highlight w:val="none"/>
          <w14:textFill>
            <w14:solidFill>
              <w14:schemeClr w14:val="tx1"/>
            </w14:solidFill>
          </w14:textFill>
        </w:rPr>
        <w:t>认定该比选申请人以低于成本报价，报价不合理，其比选申请文件作无效处理。</w:t>
      </w:r>
    </w:p>
    <w:p>
      <w:pPr>
        <w:pStyle w:val="4"/>
        <w:spacing w:before="0" w:after="0" w:line="240" w:lineRule="auto"/>
        <w:jc w:val="center"/>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48" w:name="_Toc19965"/>
      <w:bookmarkStart w:id="449" w:name="_Toc9436"/>
      <w:bookmarkStart w:id="450" w:name="_Toc3223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二、总分计算公式</w:t>
      </w:r>
      <w:bookmarkEnd w:id="448"/>
      <w:bookmarkEnd w:id="449"/>
      <w:bookmarkEnd w:id="450"/>
    </w:p>
    <w:p>
      <w:pPr>
        <w:ind w:firstLine="420" w:firstLineChars="200"/>
        <w:jc w:val="left"/>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总分即比选申请人评分综合得分，其计算公式：总分＝商务技术部分得分+报价部分得分</w:t>
      </w:r>
      <w:bookmarkStart w:id="451" w:name="_Toc9696"/>
      <w:bookmarkStart w:id="452" w:name="_Toc32296"/>
      <w:bookmarkStart w:id="453" w:name="_Toc471482376"/>
      <w:bookmarkStart w:id="454" w:name="_Toc6547"/>
      <w:bookmarkStart w:id="455" w:name="_Toc13406"/>
      <w:bookmarkStart w:id="456" w:name="_Toc18027"/>
      <w:bookmarkStart w:id="457" w:name="_Toc28207"/>
      <w:bookmarkStart w:id="458" w:name="_Toc10918"/>
      <w:bookmarkStart w:id="459" w:name="_Toc31078"/>
      <w:bookmarkStart w:id="460" w:name="_Toc26842"/>
      <w:bookmarkStart w:id="461" w:name="_Toc2392"/>
    </w:p>
    <w:p>
      <w:pPr>
        <w:numPr>
          <w:ilvl w:val="255"/>
          <w:numId w:val="0"/>
        </w:numPr>
        <w:ind w:firstLine="0" w:firstLineChars="0"/>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三、评分细则</w:t>
      </w:r>
      <w:bookmarkEnd w:id="451"/>
      <w:bookmarkEnd w:id="452"/>
      <w:bookmarkEnd w:id="453"/>
      <w:bookmarkEnd w:id="454"/>
      <w:bookmarkEnd w:id="455"/>
      <w:bookmarkEnd w:id="456"/>
      <w:bookmarkEnd w:id="457"/>
      <w:bookmarkEnd w:id="458"/>
      <w:bookmarkEnd w:id="459"/>
      <w:bookmarkEnd w:id="460"/>
      <w:bookmarkEnd w:id="461"/>
    </w:p>
    <w:p>
      <w:pPr>
        <w:pStyle w:val="14"/>
        <w:spacing w:line="240" w:lineRule="auto"/>
        <w:ind w:firstLine="420" w:firstLineChars="200"/>
        <w:rPr>
          <w:rFonts w:asciiTheme="minorEastAsia" w:hAnsiTheme="minorEastAsia" w:eastAsiaTheme="minorEastAsia" w:cstheme="minorEastAsia"/>
          <w:color w:val="000000" w:themeColor="text1"/>
          <w:kern w:val="0"/>
          <w:szCs w:val="21"/>
          <w:highlight w:val="none"/>
          <w14:textFill>
            <w14:solidFill>
              <w14:schemeClr w14:val="tx1"/>
            </w14:solidFill>
          </w14:textFill>
        </w:rPr>
      </w:pPr>
      <w:bookmarkStart w:id="462" w:name="_Toc18752"/>
      <w:bookmarkStart w:id="463" w:name="_Toc15382"/>
      <w:bookmarkStart w:id="464" w:name="_Toc1358"/>
      <w:r>
        <w:rPr>
          <w:rFonts w:asciiTheme="minorEastAsia" w:hAnsiTheme="minorEastAsia" w:eastAsiaTheme="minorEastAsia" w:cstheme="minorEastAsia"/>
          <w:color w:val="000000" w:themeColor="text1"/>
          <w:kern w:val="0"/>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报价部分评分细则（满分</w:t>
      </w:r>
      <w:r>
        <w:rPr>
          <w:rFonts w:asciiTheme="minorEastAsia" w:hAnsiTheme="minorEastAsia" w:eastAsiaTheme="minorEastAsia" w:cstheme="minorEastAsia"/>
          <w:color w:val="000000" w:themeColor="text1"/>
          <w:kern w:val="0"/>
          <w:szCs w:val="21"/>
          <w:highlight w:val="none"/>
          <w14:textFill>
            <w14:solidFill>
              <w14:schemeClr w14:val="tx1"/>
            </w14:solidFill>
          </w14:textFill>
        </w:rPr>
        <w:t>30</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分）</w:t>
      </w:r>
      <w:bookmarkEnd w:id="462"/>
      <w:bookmarkEnd w:id="463"/>
      <w:bookmarkEnd w:id="464"/>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89"/>
        <w:gridCol w:w="6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76" w:type="pct"/>
            <w:vAlign w:val="center"/>
          </w:tcPr>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序号</w:t>
            </w:r>
          </w:p>
        </w:tc>
        <w:tc>
          <w:tcPr>
            <w:tcW w:w="948" w:type="pct"/>
            <w:vAlign w:val="center"/>
          </w:tcPr>
          <w:p>
            <w:pP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评分因素</w:t>
            </w:r>
          </w:p>
        </w:tc>
        <w:tc>
          <w:tcPr>
            <w:tcW w:w="3675" w:type="pct"/>
            <w:vAlign w:val="center"/>
          </w:tcPr>
          <w:p>
            <w:pP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376" w:type="pct"/>
            <w:vAlign w:val="center"/>
          </w:tcPr>
          <w:p>
            <w:pP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asciiTheme="minorEastAsia" w:hAnsiTheme="minorEastAsia" w:eastAsiaTheme="minorEastAsia" w:cstheme="minorEastAsia"/>
                <w:color w:val="000000" w:themeColor="text1"/>
                <w:kern w:val="0"/>
                <w:szCs w:val="21"/>
                <w:highlight w:val="none"/>
                <w14:textFill>
                  <w14:solidFill>
                    <w14:schemeClr w14:val="tx1"/>
                  </w14:solidFill>
                </w14:textFill>
              </w:rPr>
              <w:t>1</w:t>
            </w:r>
          </w:p>
        </w:tc>
        <w:tc>
          <w:tcPr>
            <w:tcW w:w="948" w:type="pct"/>
            <w:vAlign w:val="center"/>
          </w:tcPr>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本项目报价评分</w:t>
            </w:r>
          </w:p>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（满分</w:t>
            </w:r>
            <w:r>
              <w:rPr>
                <w:rFonts w:asciiTheme="minorEastAsia" w:hAnsiTheme="minorEastAsia" w:eastAsiaTheme="minorEastAsia" w:cstheme="minorEastAsia"/>
                <w:color w:val="000000" w:themeColor="text1"/>
                <w:kern w:val="0"/>
                <w:szCs w:val="21"/>
                <w:highlight w:val="none"/>
                <w14:textFill>
                  <w14:solidFill>
                    <w14:schemeClr w14:val="tx1"/>
                  </w14:solidFill>
                </w14:textFill>
              </w:rPr>
              <w:t>30分</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p>
        </w:tc>
        <w:tc>
          <w:tcPr>
            <w:tcW w:w="3675" w:type="pct"/>
            <w:vAlign w:val="center"/>
          </w:tcPr>
          <w:p>
            <w:pPr>
              <w:ind w:firstLine="420" w:firstLineChars="200"/>
              <w:jc w:val="left"/>
              <w:rPr>
                <w:rFonts w:asciiTheme="minorEastAsia" w:hAnsiTheme="minorEastAsia" w:eastAsiaTheme="minorEastAsia" w:cstheme="minorEastAsia"/>
                <w:b/>
                <w:color w:val="000000" w:themeColor="text1"/>
                <w:kern w:val="0"/>
                <w:szCs w:val="21"/>
                <w:highlight w:val="none"/>
                <w14:textFill>
                  <w14:solidFill>
                    <w14:schemeClr w14:val="tx1"/>
                  </w14:solidFill>
                </w14:textFill>
              </w:rPr>
            </w:pPr>
            <w:r>
              <w:rPr>
                <w:rFonts w:asciiTheme="minorEastAsia" w:hAnsiTheme="minorEastAsia" w:eastAsiaTheme="minorEastAsia" w:cstheme="minorEastAsia"/>
                <w:b/>
                <w:color w:val="000000" w:themeColor="text1"/>
                <w:kern w:val="0"/>
                <w:szCs w:val="21"/>
                <w:highlight w:val="none"/>
                <w14:textFill>
                  <w14:solidFill>
                    <w14:schemeClr w14:val="tx1"/>
                  </w14:solidFill>
                </w14:textFill>
              </w:rPr>
              <w:t>比选申请人</w:t>
            </w:r>
            <w:r>
              <w:rPr>
                <w:rFonts w:hint="eastAsia" w:asciiTheme="minorEastAsia" w:hAnsiTheme="minorEastAsia" w:eastAsiaTheme="minorEastAsia" w:cstheme="minorEastAsia"/>
                <w:b/>
                <w:color w:val="000000" w:themeColor="text1"/>
                <w:kern w:val="0"/>
                <w:szCs w:val="21"/>
                <w:highlight w:val="none"/>
                <w14:textFill>
                  <w14:solidFill>
                    <w14:schemeClr w14:val="tx1"/>
                  </w14:solidFill>
                </w14:textFill>
              </w:rPr>
              <w:t>含税报价</w:t>
            </w:r>
            <w:r>
              <w:rPr>
                <w:rFonts w:asciiTheme="minorEastAsia" w:hAnsiTheme="minorEastAsia" w:eastAsiaTheme="minorEastAsia" w:cstheme="minorEastAsia"/>
                <w:b/>
                <w:color w:val="000000" w:themeColor="text1"/>
                <w:kern w:val="0"/>
                <w:szCs w:val="21"/>
                <w:highlight w:val="none"/>
                <w14:textFill>
                  <w14:solidFill>
                    <w14:schemeClr w14:val="tx1"/>
                  </w14:solidFill>
                </w14:textFill>
              </w:rPr>
              <w:t>大于上控价时比选申请文件作无效处理</w:t>
            </w:r>
            <w:r>
              <w:rPr>
                <w:rFonts w:hint="eastAsia" w:asciiTheme="minorEastAsia" w:hAnsiTheme="minorEastAsia" w:eastAsiaTheme="minorEastAsia" w:cstheme="minorEastAsia"/>
                <w:b/>
                <w:color w:val="000000" w:themeColor="text1"/>
                <w:kern w:val="0"/>
                <w:szCs w:val="21"/>
                <w:highlight w:val="none"/>
                <w14:textFill>
                  <w14:solidFill>
                    <w14:schemeClr w14:val="tx1"/>
                  </w14:solidFill>
                </w14:textFill>
              </w:rPr>
              <w:t>。</w:t>
            </w:r>
          </w:p>
          <w:p>
            <w:pPr>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asciiTheme="minorEastAsia" w:hAnsiTheme="minorEastAsia" w:eastAsiaTheme="minorEastAsia" w:cstheme="minorEastAsia"/>
                <w:color w:val="000000" w:themeColor="text1"/>
                <w:kern w:val="0"/>
                <w:szCs w:val="21"/>
                <w:highlight w:val="none"/>
                <w14:textFill>
                  <w14:solidFill>
                    <w14:schemeClr w14:val="tx1"/>
                  </w14:solidFill>
                </w14:textFill>
              </w:rPr>
              <w:t>当比选申请人</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含税报价</w:t>
            </w:r>
            <w:r>
              <w:rPr>
                <w:rFonts w:asciiTheme="minorEastAsia" w:hAnsiTheme="minorEastAsia" w:eastAsiaTheme="minorEastAsia" w:cstheme="minorEastAsia"/>
                <w:color w:val="000000" w:themeColor="text1"/>
                <w:kern w:val="0"/>
                <w:szCs w:val="21"/>
                <w:highlight w:val="none"/>
                <w14:textFill>
                  <w14:solidFill>
                    <w14:schemeClr w14:val="tx1"/>
                  </w14:solidFill>
                </w14:textFill>
              </w:rPr>
              <w:t>小于或者等于上控价时</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资格审查合格的有效报价投标人在</w:t>
            </w:r>
            <w:r>
              <w:rPr>
                <w:rFonts w:asciiTheme="minorEastAsia" w:hAnsiTheme="minorEastAsia" w:eastAsiaTheme="minorEastAsia" w:cstheme="minorEastAsia"/>
                <w:color w:val="000000" w:themeColor="text1"/>
                <w:szCs w:val="21"/>
                <w:highlight w:val="none"/>
                <w14:textFill>
                  <w14:solidFill>
                    <w14:schemeClr w14:val="tx1"/>
                  </w14:solidFill>
                </w14:textFill>
              </w:rPr>
              <w:t>5家以上（不含5家）的，将去掉最高和最低有效报价后，取有效报价的算术平均值作为评审基准价；资格审查合格的投标人在5家以下（含5家）的，取有效报价的算术平均值作为评审的基准价。</w:t>
            </w:r>
          </w:p>
          <w:p>
            <w:pPr>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评审时以经评审的基准价为最高分，采用内插法计算，</w:t>
            </w:r>
            <w:r>
              <w:rPr>
                <w:rFonts w:asciiTheme="minorEastAsia" w:hAnsiTheme="minorEastAsia" w:eastAsiaTheme="minorEastAsia" w:cstheme="minorEastAsia"/>
                <w:color w:val="000000" w:themeColor="text1"/>
                <w:kern w:val="0"/>
                <w:szCs w:val="21"/>
                <w:highlight w:val="none"/>
                <w14:textFill>
                  <w14:solidFill>
                    <w14:schemeClr w14:val="tx1"/>
                  </w14:solidFill>
                </w14:textFill>
              </w:rPr>
              <w:t>比选申请人</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报价每高于基准价</w:t>
            </w:r>
            <w:r>
              <w:rPr>
                <w:rFonts w:asciiTheme="minorEastAsia" w:hAnsiTheme="minorEastAsia" w:eastAsiaTheme="minorEastAsia" w:cstheme="minorEastAsia"/>
                <w:color w:val="000000" w:themeColor="text1"/>
                <w:szCs w:val="21"/>
                <w:highlight w:val="none"/>
                <w14:textFill>
                  <w14:solidFill>
                    <w14:schemeClr w14:val="tx1"/>
                  </w14:solidFill>
                </w14:textFill>
              </w:rPr>
              <w:t>1％的扣0.6分，每低于基准价1％的扣0.3分，扣完即止。</w:t>
            </w:r>
          </w:p>
        </w:tc>
      </w:tr>
    </w:tbl>
    <w:p>
      <w:pPr>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asciiTheme="minorEastAsia" w:hAnsiTheme="minorEastAsia" w:eastAsiaTheme="minorEastAsia" w:cs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商务技术部分评分细则（满分</w:t>
      </w:r>
      <w:r>
        <w:rPr>
          <w:rFonts w:asciiTheme="minorEastAsia" w:hAnsiTheme="minorEastAsia" w:eastAsiaTheme="minorEastAsia" w:cstheme="minorEastAsia"/>
          <w:color w:val="000000" w:themeColor="text1"/>
          <w:szCs w:val="21"/>
          <w:highlight w:val="none"/>
          <w14:textFill>
            <w14:solidFill>
              <w14:schemeClr w14:val="tx1"/>
            </w14:solidFill>
          </w14:textFill>
        </w:rPr>
        <w:t>70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分）</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789"/>
        <w:gridCol w:w="6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11" w:type="dxa"/>
            <w:vAlign w:val="center"/>
          </w:tcPr>
          <w:p>
            <w:pP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序号</w:t>
            </w:r>
          </w:p>
        </w:tc>
        <w:tc>
          <w:tcPr>
            <w:tcW w:w="1789" w:type="dxa"/>
            <w:vAlign w:val="center"/>
          </w:tcPr>
          <w:p>
            <w:pP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评分因素</w:t>
            </w:r>
          </w:p>
        </w:tc>
        <w:tc>
          <w:tcPr>
            <w:tcW w:w="6935" w:type="dxa"/>
            <w:vAlign w:val="center"/>
          </w:tcPr>
          <w:p>
            <w:pPr>
              <w:jc w:val="center"/>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711" w:type="dxa"/>
            <w:vAlign w:val="center"/>
          </w:tcPr>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asciiTheme="minorEastAsia" w:hAnsiTheme="minorEastAsia" w:eastAsiaTheme="minorEastAsia" w:cstheme="minorEastAsia"/>
                <w:color w:val="000000" w:themeColor="text1"/>
                <w:kern w:val="0"/>
                <w:szCs w:val="21"/>
                <w:highlight w:val="none"/>
                <w14:textFill>
                  <w14:solidFill>
                    <w14:schemeClr w14:val="tx1"/>
                  </w14:solidFill>
                </w14:textFill>
              </w:rPr>
              <w:t>1</w:t>
            </w:r>
          </w:p>
        </w:tc>
        <w:tc>
          <w:tcPr>
            <w:tcW w:w="1789" w:type="dxa"/>
            <w:vAlign w:val="center"/>
          </w:tcPr>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类似项目业绩</w:t>
            </w:r>
          </w:p>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（满分10分）</w:t>
            </w:r>
          </w:p>
        </w:tc>
        <w:tc>
          <w:tcPr>
            <w:tcW w:w="6935" w:type="dxa"/>
            <w:vAlign w:val="center"/>
          </w:tcPr>
          <w:p>
            <w:pPr>
              <w:widowControl/>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asciiTheme="minorEastAsia" w:hAnsiTheme="minorEastAsia" w:eastAsiaTheme="minorEastAsia" w:cstheme="minorEastAsia"/>
                <w:color w:val="000000" w:themeColor="text1"/>
                <w:szCs w:val="21"/>
                <w:highlight w:val="none"/>
                <w14:textFill>
                  <w14:solidFill>
                    <w14:schemeClr w14:val="tx1"/>
                  </w14:solidFill>
                </w14:textFill>
              </w:rPr>
              <w:t>2021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w:t>
            </w:r>
            <w:r>
              <w:rPr>
                <w:rFonts w:asciiTheme="minorEastAsia" w:hAnsiTheme="minorEastAsia" w:eastAsiaTheme="minorEastAsia" w:cstheme="minorEastAsia"/>
                <w:color w:val="000000" w:themeColor="text1"/>
                <w:szCs w:val="21"/>
                <w:highlight w:val="none"/>
                <w14:textFill>
                  <w14:solidFill>
                    <w14:schemeClr w14:val="tx1"/>
                  </w14:solidFill>
                </w14:textFill>
              </w:rPr>
              <w:t>6月1日</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至今</w:t>
            </w:r>
            <w:r>
              <w:rPr>
                <w:rFonts w:hint="eastAsia" w:asciiTheme="minorEastAsia" w:hAnsiTheme="minorEastAsia" w:eastAsiaTheme="minorEastAsia" w:cstheme="minorEastAsia"/>
                <w:color w:val="000000" w:themeColor="text1"/>
                <w:szCs w:val="21"/>
                <w:highlight w:val="none"/>
                <w:lang w:bidi="ar"/>
                <w14:textFill>
                  <w14:solidFill>
                    <w14:schemeClr w14:val="tx1"/>
                  </w14:solidFill>
                </w14:textFill>
              </w:rPr>
              <w:t>具备人才猎聘及人事代理类似业绩，需提供该业绩的合同复印件或中标通知书并加盖公章，合同复印件应至少包括合同首页、签章页、服务范围及内容页、合同签署时间页。</w:t>
            </w:r>
          </w:p>
          <w:p>
            <w:pPr>
              <w:widowControl/>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提供12个以上（含12个）业绩得10分，10个业绩得8分，8个业绩得6分，7个业绩得</w:t>
            </w:r>
            <w:r>
              <w:rPr>
                <w:rFonts w:asciiTheme="minorEastAsia" w:hAnsiTheme="minorEastAsia" w:eastAsiaTheme="minorEastAsia" w:cstheme="minorEastAsia"/>
                <w:color w:val="000000" w:themeColor="text1"/>
                <w:szCs w:val="21"/>
                <w:highlight w:val="none"/>
                <w14:textFill>
                  <w14:solidFill>
                    <w14:schemeClr w14:val="tx1"/>
                  </w14:solidFill>
                </w14:textFill>
              </w:rPr>
              <w:t>4分，</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6个业绩得2分，</w:t>
            </w:r>
            <w:r>
              <w:rPr>
                <w:rFonts w:asciiTheme="minorEastAsia" w:hAnsiTheme="minorEastAsia" w:eastAsiaTheme="minorEastAsia" w:cstheme="minorEastAsia"/>
                <w:color w:val="000000" w:themeColor="text1"/>
                <w:szCs w:val="21"/>
                <w:highlight w:val="none"/>
                <w14:textFill>
                  <w14:solidFill>
                    <w14:schemeClr w14:val="tx1"/>
                  </w14:solidFill>
                </w14:textFill>
              </w:rPr>
              <w:t>5个业绩得1分。5个以下不得分。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1" w:type="dxa"/>
            <w:vAlign w:val="center"/>
          </w:tcPr>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asciiTheme="minorEastAsia" w:hAnsiTheme="minorEastAsia" w:eastAsiaTheme="minorEastAsia" w:cstheme="minorEastAsia"/>
                <w:color w:val="000000" w:themeColor="text1"/>
                <w:kern w:val="0"/>
                <w:szCs w:val="21"/>
                <w:highlight w:val="none"/>
                <w14:textFill>
                  <w14:solidFill>
                    <w14:schemeClr w14:val="tx1"/>
                  </w14:solidFill>
                </w14:textFill>
              </w:rPr>
              <w:t>2</w:t>
            </w:r>
          </w:p>
        </w:tc>
        <w:tc>
          <w:tcPr>
            <w:tcW w:w="1789" w:type="dxa"/>
            <w:vAlign w:val="center"/>
          </w:tcPr>
          <w:p>
            <w:pPr>
              <w:widowControl/>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kern w:val="0"/>
                <w:szCs w:val="21"/>
                <w:highlight w:val="none"/>
                <w:lang w:bidi="ar"/>
              </w:rPr>
              <w:t>企业综合实力</w:t>
            </w:r>
          </w:p>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（满分20分）</w:t>
            </w:r>
          </w:p>
        </w:tc>
        <w:tc>
          <w:tcPr>
            <w:tcW w:w="6935" w:type="dxa"/>
            <w:vAlign w:val="center"/>
          </w:tcPr>
          <w:p>
            <w:pPr>
              <w:widowControl/>
              <w:ind w:firstLine="420" w:firstLineChars="20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kern w:val="0"/>
                <w:szCs w:val="21"/>
                <w:highlight w:val="none"/>
                <w:lang w:bidi="ar"/>
              </w:rPr>
              <w:t>依据企业综合说明或企业介绍方案进行综合评价打分：</w:t>
            </w:r>
          </w:p>
          <w:p>
            <w:pPr>
              <w:widowControl/>
              <w:ind w:firstLine="420" w:firstLineChars="200"/>
              <w:jc w:val="left"/>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第一档：企业描述详细，企业组织机构完善，企业内部管理完善，具备信息化管理平台，描述详细清晰，16-20分；</w:t>
            </w:r>
          </w:p>
          <w:p>
            <w:pPr>
              <w:widowControl/>
              <w:ind w:firstLine="420" w:firstLineChars="200"/>
              <w:jc w:val="left"/>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第二档：企业描述详细，企业组织机构完善，但未提供企业组织结构说明，企业内部管理完善，描述详细清晰，不具备信息化管理平台的，11-15分；</w:t>
            </w:r>
          </w:p>
          <w:p>
            <w:pPr>
              <w:widowControl/>
              <w:ind w:firstLine="420" w:firstLineChars="200"/>
              <w:jc w:val="left"/>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第三档：具有企业介绍和企业组织机构简单描述，但企业内部管理制度不完善、描述不全面，描述较为简单的，6-10分；</w:t>
            </w:r>
          </w:p>
          <w:p>
            <w:pPr>
              <w:widowControl/>
              <w:ind w:firstLine="420" w:firstLineChars="200"/>
              <w:jc w:val="left"/>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第四档：具有企业简单介绍，但不具有关于企业组织机构描述，且企业内部管理制度不完善、描述不全面，描述较为简单的，得1-5分；</w:t>
            </w:r>
          </w:p>
          <w:p>
            <w:pPr>
              <w:widowControl/>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kern w:val="0"/>
                <w:szCs w:val="21"/>
                <w:highlight w:val="none"/>
                <w:lang w:bidi="ar"/>
              </w:rPr>
              <w:t>第五档：没提供相企业介绍的，得</w:t>
            </w:r>
            <w:r>
              <w:rPr>
                <w:rFonts w:asciiTheme="minorEastAsia" w:hAnsiTheme="minorEastAsia" w:eastAsiaTheme="minorEastAsia" w:cstheme="minorEastAsia"/>
                <w:color w:val="000000"/>
                <w:kern w:val="0"/>
                <w:szCs w:val="21"/>
                <w:highlight w:val="none"/>
                <w:lang w:bidi="ar"/>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11" w:type="dxa"/>
            <w:vAlign w:val="center"/>
          </w:tcPr>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asciiTheme="minorEastAsia" w:hAnsiTheme="minorEastAsia" w:eastAsiaTheme="minorEastAsia" w:cstheme="minorEastAsia"/>
                <w:color w:val="000000" w:themeColor="text1"/>
                <w:kern w:val="0"/>
                <w:szCs w:val="21"/>
                <w:highlight w:val="none"/>
                <w14:textFill>
                  <w14:solidFill>
                    <w14:schemeClr w14:val="tx1"/>
                  </w14:solidFill>
                </w14:textFill>
              </w:rPr>
              <w:t>3</w:t>
            </w:r>
          </w:p>
        </w:tc>
        <w:tc>
          <w:tcPr>
            <w:tcW w:w="1789" w:type="dxa"/>
            <w:vAlign w:val="center"/>
          </w:tcPr>
          <w:p>
            <w:pPr>
              <w:jc w:val="center"/>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拟投入人员</w:t>
            </w:r>
          </w:p>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kern w:val="0"/>
                <w:szCs w:val="21"/>
                <w:highlight w:val="none"/>
              </w:rPr>
              <w:t>（满分10分）</w:t>
            </w:r>
          </w:p>
        </w:tc>
        <w:tc>
          <w:tcPr>
            <w:tcW w:w="6935" w:type="dxa"/>
            <w:vAlign w:val="center"/>
          </w:tcPr>
          <w:p>
            <w:pPr>
              <w:widowControl/>
              <w:ind w:firstLine="420" w:firstLineChars="200"/>
              <w:jc w:val="left"/>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第一档：比选申请人提供拟投入人员的配置方案，包含但不限于拟投入人员清单、人员情况、人员数量、岗位职责。拟投入本项目的项目人员（非拟猎聘人员范围内）15名（含15名）以上，人员清单明晰，岗位分工明确，方案可行性强，描述详细的，8-10</w:t>
            </w:r>
            <w:r>
              <w:rPr>
                <w:rFonts w:asciiTheme="minorEastAsia" w:hAnsiTheme="minorEastAsia" w:eastAsiaTheme="minorEastAsia" w:cstheme="minorEastAsia"/>
                <w:color w:val="000000"/>
                <w:kern w:val="0"/>
                <w:szCs w:val="21"/>
                <w:highlight w:val="none"/>
                <w:lang w:bidi="ar"/>
              </w:rPr>
              <w:t>分；</w:t>
            </w:r>
          </w:p>
          <w:p>
            <w:pPr>
              <w:widowControl/>
              <w:ind w:firstLine="420" w:firstLineChars="20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kern w:val="0"/>
                <w:szCs w:val="21"/>
                <w:highlight w:val="none"/>
                <w:lang w:bidi="ar"/>
              </w:rPr>
              <w:t>第二档：比选申请人提供人员配置方案，拟投入人员数量及人员情况基本符合比选要求，但岗位分工不够明确，拟投入本项目的项目人员（非拟猎聘人员范围内）12名（含12名）以上，方案可行性较强的，描述较详细的，5-7</w:t>
            </w:r>
            <w:r>
              <w:rPr>
                <w:rFonts w:asciiTheme="minorEastAsia" w:hAnsiTheme="minorEastAsia" w:eastAsiaTheme="minorEastAsia" w:cstheme="minorEastAsia"/>
                <w:color w:val="000000"/>
                <w:kern w:val="0"/>
                <w:szCs w:val="21"/>
                <w:highlight w:val="none"/>
                <w:lang w:bidi="ar"/>
              </w:rPr>
              <w:t>分；</w:t>
            </w:r>
          </w:p>
          <w:p>
            <w:pPr>
              <w:ind w:firstLine="420" w:firstLineChars="200"/>
              <w:jc w:val="left"/>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第三档：比选申请人提供人员配置方案，拟投入人员数量及人员情况部分符合招标要求，且岗位分工不够明确，拟投入本项目的项目人员（非拟猎聘人员范围内）3名（含3名）以上，方案可行性较差的，描述简单的，</w:t>
            </w:r>
            <w:r>
              <w:rPr>
                <w:rFonts w:asciiTheme="minorEastAsia" w:hAnsiTheme="minorEastAsia" w:eastAsiaTheme="minorEastAsia" w:cstheme="minorEastAsia"/>
                <w:color w:val="000000"/>
                <w:kern w:val="0"/>
                <w:szCs w:val="21"/>
                <w:highlight w:val="none"/>
                <w:lang w:bidi="ar"/>
              </w:rPr>
              <w:t>1-</w:t>
            </w:r>
            <w:r>
              <w:rPr>
                <w:rFonts w:hint="eastAsia" w:asciiTheme="minorEastAsia" w:hAnsiTheme="minorEastAsia" w:eastAsiaTheme="minorEastAsia" w:cstheme="minorEastAsia"/>
                <w:color w:val="000000"/>
                <w:kern w:val="0"/>
                <w:szCs w:val="21"/>
                <w:highlight w:val="none"/>
                <w:lang w:bidi="ar"/>
              </w:rPr>
              <w:t>4</w:t>
            </w:r>
            <w:r>
              <w:rPr>
                <w:rFonts w:asciiTheme="minorEastAsia" w:hAnsiTheme="minorEastAsia" w:eastAsiaTheme="minorEastAsia" w:cstheme="minorEastAsia"/>
                <w:color w:val="000000"/>
                <w:kern w:val="0"/>
                <w:szCs w:val="21"/>
                <w:highlight w:val="none"/>
                <w:lang w:bidi="ar"/>
              </w:rPr>
              <w:t>分；</w:t>
            </w:r>
          </w:p>
          <w:p>
            <w:pPr>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kern w:val="0"/>
                <w:szCs w:val="21"/>
                <w:highlight w:val="none"/>
                <w:lang w:bidi="ar"/>
              </w:rPr>
              <w:t>第四档：拟投入本项目的项目人员（非拟猎聘人员范围内）3名以下或未提供人员配置方案的，得</w:t>
            </w:r>
            <w:r>
              <w:rPr>
                <w:rFonts w:asciiTheme="minorEastAsia" w:hAnsiTheme="minorEastAsia" w:eastAsiaTheme="minorEastAsia" w:cstheme="minorEastAsia"/>
                <w:color w:val="000000"/>
                <w:kern w:val="0"/>
                <w:szCs w:val="21"/>
                <w:highlight w:val="none"/>
                <w:lang w:bidi="ar"/>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1" w:type="dxa"/>
            <w:vAlign w:val="center"/>
          </w:tcPr>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asciiTheme="minorEastAsia" w:hAnsiTheme="minorEastAsia" w:eastAsiaTheme="minorEastAsia" w:cstheme="minorEastAsia"/>
                <w:color w:val="000000" w:themeColor="text1"/>
                <w:kern w:val="0"/>
                <w:szCs w:val="21"/>
                <w:highlight w:val="none"/>
                <w14:textFill>
                  <w14:solidFill>
                    <w14:schemeClr w14:val="tx1"/>
                  </w14:solidFill>
                </w14:textFill>
              </w:rPr>
              <w:t>4</w:t>
            </w:r>
          </w:p>
        </w:tc>
        <w:tc>
          <w:tcPr>
            <w:tcW w:w="1789" w:type="dxa"/>
            <w:vAlign w:val="center"/>
          </w:tcPr>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服务方案</w:t>
            </w:r>
          </w:p>
          <w:p>
            <w:pPr>
              <w:jc w:val="center"/>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（满分30分）（主要从服务态度、服务质量、服务响应时间、培训等方面</w:t>
            </w:r>
            <w:r>
              <w:rPr>
                <w:rFonts w:hint="eastAsia" w:asciiTheme="minorEastAsia" w:hAnsiTheme="minorEastAsia" w:eastAsiaTheme="minorEastAsia" w:cstheme="minorEastAsia"/>
                <w:kern w:val="0"/>
                <w:szCs w:val="21"/>
                <w:highlight w:val="none"/>
              </w:rPr>
              <w:t>以及述标问题</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进行阐述。）</w:t>
            </w:r>
          </w:p>
        </w:tc>
        <w:tc>
          <w:tcPr>
            <w:tcW w:w="6935" w:type="dxa"/>
            <w:vAlign w:val="center"/>
          </w:tcPr>
          <w:p>
            <w:pPr>
              <w:widowControl/>
              <w:ind w:firstLine="420" w:firstLineChars="20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kern w:val="0"/>
                <w:szCs w:val="21"/>
                <w:highlight w:val="none"/>
                <w:lang w:bidi="ar"/>
              </w:rPr>
              <w:t>根据比选申请人所提供的人才猎聘及人事代理服务方案进行综合打分：</w:t>
            </w:r>
          </w:p>
          <w:p>
            <w:pPr>
              <w:widowControl/>
              <w:ind w:firstLine="420" w:firstLineChars="20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kern w:val="0"/>
                <w:szCs w:val="21"/>
                <w:highlight w:val="none"/>
                <w:lang w:bidi="ar"/>
              </w:rPr>
              <w:t>第一档：方案内容详尽完整，</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科学合理，</w:t>
            </w:r>
            <w:r>
              <w:rPr>
                <w:rFonts w:hint="eastAsia" w:asciiTheme="minorEastAsia" w:hAnsiTheme="minorEastAsia" w:eastAsiaTheme="minorEastAsia" w:cstheme="minorEastAsia"/>
                <w:color w:val="000000"/>
                <w:kern w:val="0"/>
                <w:szCs w:val="21"/>
                <w:highlight w:val="none"/>
                <w:lang w:bidi="ar"/>
              </w:rPr>
              <w:t>完全符合采购人实际需求及项目的实际情况，针对性及可行性强，25-30分；</w:t>
            </w:r>
          </w:p>
          <w:p>
            <w:pPr>
              <w:widowControl/>
              <w:ind w:firstLine="420" w:firstLineChars="20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kern w:val="0"/>
                <w:szCs w:val="21"/>
                <w:highlight w:val="none"/>
                <w:lang w:bidi="ar"/>
              </w:rPr>
              <w:t>第二档：方案内容较全面，基本符合采购人实际需求及项目的实际情况，可行性较强，得20-25分；</w:t>
            </w:r>
          </w:p>
          <w:p>
            <w:pPr>
              <w:widowControl/>
              <w:ind w:firstLine="420" w:firstLineChars="20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kern w:val="0"/>
                <w:szCs w:val="21"/>
                <w:highlight w:val="none"/>
                <w:lang w:bidi="ar"/>
              </w:rPr>
              <w:t>第三档：方案内容简略，对采购人实际需求及项目的实际情况响应程度一般，可行性一般，得15-20分；</w:t>
            </w:r>
          </w:p>
          <w:p>
            <w:pPr>
              <w:widowControl/>
              <w:ind w:firstLine="420" w:firstLineChars="20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kern w:val="0"/>
                <w:szCs w:val="21"/>
                <w:highlight w:val="none"/>
                <w:lang w:bidi="ar"/>
              </w:rPr>
              <w:t>第四档：方案内容欠缺，对采购人实际需求及项目的实际情况响应程度较低，有可行性，得5-15分；</w:t>
            </w:r>
          </w:p>
          <w:p>
            <w:pPr>
              <w:ind w:firstLine="420" w:firstLineChars="200"/>
              <w:jc w:val="left"/>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第五档：未提供此项方案，得0分。</w:t>
            </w:r>
          </w:p>
        </w:tc>
      </w:tr>
    </w:tbl>
    <w:p>
      <w:pPr>
        <w:pStyle w:val="4"/>
        <w:spacing w:before="0" w:after="0" w:line="240" w:lineRule="auto"/>
        <w:jc w:val="center"/>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65" w:name="_Toc7989"/>
      <w:bookmarkStart w:id="466" w:name="_Toc19593"/>
      <w:bookmarkStart w:id="467" w:name="_Toc17630"/>
      <w:bookmarkStart w:id="468" w:name="_Toc24475"/>
      <w:bookmarkStart w:id="469" w:name="_Toc27525"/>
      <w:bookmarkStart w:id="470" w:name="_Toc22367"/>
      <w:bookmarkStart w:id="471" w:name="_Toc21685"/>
      <w:bookmarkStart w:id="472" w:name="_Toc471482377"/>
      <w:bookmarkStart w:id="473" w:name="_Toc13458"/>
      <w:bookmarkStart w:id="474" w:name="_Toc10183"/>
      <w:bookmarkStart w:id="475" w:name="_Toc32350"/>
      <w:bookmarkStart w:id="476" w:name="_Toc19395"/>
      <w:bookmarkStart w:id="477" w:name="_Toc24296"/>
      <w:bookmarkStart w:id="478" w:name="_Toc15663"/>
      <w:bookmarkStart w:id="479" w:name="_Toc19365"/>
      <w:bookmarkStart w:id="480" w:name="_Toc2054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四、中选标准</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评比委员会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若排名第一的中选候选人自愿放弃资格或由于不可抗力的原因不能按合同规定履约的，则推荐排名第二的中选候选人，以此类推。</w:t>
      </w:r>
    </w:p>
    <w:p>
      <w:pPr>
        <w:ind w:right="753"/>
        <w:jc w:val="left"/>
        <w:rPr>
          <w:rFonts w:ascii="宋体" w:hAnsi="宋体" w:cs="宋体"/>
          <w:color w:val="000000" w:themeColor="text1"/>
          <w:sz w:val="28"/>
          <w:szCs w:val="28"/>
          <w:highlight w:val="none"/>
          <w14:textFill>
            <w14:solidFill>
              <w14:schemeClr w14:val="tx1"/>
            </w14:solidFill>
          </w14:textFill>
        </w:rPr>
      </w:pPr>
    </w:p>
    <w:sectPr>
      <w:footerReference r:id="rId4" w:type="default"/>
      <w:pgSz w:w="11906" w:h="16838"/>
      <w:pgMar w:top="1440" w:right="1440" w:bottom="1440" w:left="124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B5BA9C"/>
    <w:multiLevelType w:val="singleLevel"/>
    <w:tmpl w:val="D0B5BA9C"/>
    <w:lvl w:ilvl="0" w:tentative="0">
      <w:start w:val="1"/>
      <w:numFmt w:val="chineseCounting"/>
      <w:suff w:val="space"/>
      <w:lvlText w:val="第%1条"/>
      <w:lvlJc w:val="left"/>
      <w:rPr>
        <w:rFonts w:hint="eastAsia"/>
      </w:rPr>
    </w:lvl>
  </w:abstractNum>
  <w:abstractNum w:abstractNumId="1">
    <w:nsid w:val="1EC0631A"/>
    <w:multiLevelType w:val="multilevel"/>
    <w:tmpl w:val="1EC0631A"/>
    <w:lvl w:ilvl="0" w:tentative="0">
      <w:start w:val="1"/>
      <w:numFmt w:val="chineseCounting"/>
      <w:suff w:val="nothing"/>
      <w:lvlText w:val="第%1章 "/>
      <w:lvlJc w:val="left"/>
      <w:pPr>
        <w:ind w:left="432" w:hanging="432"/>
      </w:pPr>
      <w:rPr>
        <w:rFonts w:hint="eastAsia"/>
      </w:rPr>
    </w:lvl>
    <w:lvl w:ilvl="1" w:tentative="0">
      <w:start w:val="1"/>
      <w:numFmt w:val="decimal"/>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xYjVlMjBiOTcyY2I5NTU0NTQ0ZjljNzMwMWYyMDQifQ=="/>
  </w:docVars>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5CBC"/>
    <w:rsid w:val="00016D41"/>
    <w:rsid w:val="00016E1C"/>
    <w:rsid w:val="0002218A"/>
    <w:rsid w:val="0002500A"/>
    <w:rsid w:val="00025256"/>
    <w:rsid w:val="00025835"/>
    <w:rsid w:val="0002675F"/>
    <w:rsid w:val="00026A53"/>
    <w:rsid w:val="00026FFC"/>
    <w:rsid w:val="000302A5"/>
    <w:rsid w:val="000318D8"/>
    <w:rsid w:val="00035BD9"/>
    <w:rsid w:val="00042228"/>
    <w:rsid w:val="00046AB9"/>
    <w:rsid w:val="00047299"/>
    <w:rsid w:val="000473D4"/>
    <w:rsid w:val="000506DC"/>
    <w:rsid w:val="000509ED"/>
    <w:rsid w:val="00050E7F"/>
    <w:rsid w:val="00052B63"/>
    <w:rsid w:val="00053215"/>
    <w:rsid w:val="00054A84"/>
    <w:rsid w:val="00054F81"/>
    <w:rsid w:val="0005651D"/>
    <w:rsid w:val="00057BDC"/>
    <w:rsid w:val="00062107"/>
    <w:rsid w:val="000701CE"/>
    <w:rsid w:val="0007095D"/>
    <w:rsid w:val="000721B2"/>
    <w:rsid w:val="00072A19"/>
    <w:rsid w:val="00073C07"/>
    <w:rsid w:val="0007429E"/>
    <w:rsid w:val="00075096"/>
    <w:rsid w:val="0007583F"/>
    <w:rsid w:val="00076DF2"/>
    <w:rsid w:val="000843B4"/>
    <w:rsid w:val="00090B50"/>
    <w:rsid w:val="00094668"/>
    <w:rsid w:val="000971C8"/>
    <w:rsid w:val="00097B62"/>
    <w:rsid w:val="000A4B9C"/>
    <w:rsid w:val="000A6250"/>
    <w:rsid w:val="000B0BA3"/>
    <w:rsid w:val="000B1107"/>
    <w:rsid w:val="000B2862"/>
    <w:rsid w:val="000B6659"/>
    <w:rsid w:val="000B688D"/>
    <w:rsid w:val="000C488A"/>
    <w:rsid w:val="000C4E33"/>
    <w:rsid w:val="000C69DD"/>
    <w:rsid w:val="000D0354"/>
    <w:rsid w:val="000D67D8"/>
    <w:rsid w:val="000D7E70"/>
    <w:rsid w:val="000E3A4D"/>
    <w:rsid w:val="000E3EF7"/>
    <w:rsid w:val="000E4878"/>
    <w:rsid w:val="000E5816"/>
    <w:rsid w:val="000E59C4"/>
    <w:rsid w:val="000E6869"/>
    <w:rsid w:val="000F032E"/>
    <w:rsid w:val="000F0956"/>
    <w:rsid w:val="000F1C10"/>
    <w:rsid w:val="000F2D03"/>
    <w:rsid w:val="000F36DC"/>
    <w:rsid w:val="000F453A"/>
    <w:rsid w:val="00100558"/>
    <w:rsid w:val="00100DB4"/>
    <w:rsid w:val="001014A5"/>
    <w:rsid w:val="00104172"/>
    <w:rsid w:val="00104382"/>
    <w:rsid w:val="00107C43"/>
    <w:rsid w:val="00111B38"/>
    <w:rsid w:val="00111C5D"/>
    <w:rsid w:val="00111EE3"/>
    <w:rsid w:val="001144D2"/>
    <w:rsid w:val="001202B5"/>
    <w:rsid w:val="00124157"/>
    <w:rsid w:val="00124D07"/>
    <w:rsid w:val="001255FC"/>
    <w:rsid w:val="00126543"/>
    <w:rsid w:val="00127D4A"/>
    <w:rsid w:val="001330C5"/>
    <w:rsid w:val="00133DBF"/>
    <w:rsid w:val="0013663C"/>
    <w:rsid w:val="001425BE"/>
    <w:rsid w:val="0014338D"/>
    <w:rsid w:val="0014456C"/>
    <w:rsid w:val="001449DE"/>
    <w:rsid w:val="00150488"/>
    <w:rsid w:val="00153375"/>
    <w:rsid w:val="00153BCB"/>
    <w:rsid w:val="00154126"/>
    <w:rsid w:val="00155A9D"/>
    <w:rsid w:val="00164EAC"/>
    <w:rsid w:val="001662B3"/>
    <w:rsid w:val="001662F2"/>
    <w:rsid w:val="001663DA"/>
    <w:rsid w:val="00170EBD"/>
    <w:rsid w:val="001713FC"/>
    <w:rsid w:val="00172A27"/>
    <w:rsid w:val="00175CD0"/>
    <w:rsid w:val="00176048"/>
    <w:rsid w:val="00177BAE"/>
    <w:rsid w:val="00183305"/>
    <w:rsid w:val="00183B12"/>
    <w:rsid w:val="001843DD"/>
    <w:rsid w:val="00191030"/>
    <w:rsid w:val="00196765"/>
    <w:rsid w:val="001A01E7"/>
    <w:rsid w:val="001A162D"/>
    <w:rsid w:val="001A7092"/>
    <w:rsid w:val="001A7FCC"/>
    <w:rsid w:val="001B1E3E"/>
    <w:rsid w:val="001B374B"/>
    <w:rsid w:val="001B7E76"/>
    <w:rsid w:val="001C499E"/>
    <w:rsid w:val="001C4EF7"/>
    <w:rsid w:val="001D0171"/>
    <w:rsid w:val="001D3F0A"/>
    <w:rsid w:val="001D54D7"/>
    <w:rsid w:val="001D7F3C"/>
    <w:rsid w:val="001E086F"/>
    <w:rsid w:val="001E3135"/>
    <w:rsid w:val="001E3877"/>
    <w:rsid w:val="001E56AB"/>
    <w:rsid w:val="001E6897"/>
    <w:rsid w:val="001E6FA6"/>
    <w:rsid w:val="001F35F6"/>
    <w:rsid w:val="001F3870"/>
    <w:rsid w:val="001F4BDB"/>
    <w:rsid w:val="001F4E5C"/>
    <w:rsid w:val="001F701C"/>
    <w:rsid w:val="0020071F"/>
    <w:rsid w:val="00200760"/>
    <w:rsid w:val="00200936"/>
    <w:rsid w:val="00201BC0"/>
    <w:rsid w:val="00203043"/>
    <w:rsid w:val="00203566"/>
    <w:rsid w:val="00205A6E"/>
    <w:rsid w:val="00207C5E"/>
    <w:rsid w:val="002115C2"/>
    <w:rsid w:val="002134A1"/>
    <w:rsid w:val="0021374F"/>
    <w:rsid w:val="00217C6B"/>
    <w:rsid w:val="00217DCB"/>
    <w:rsid w:val="00217DD1"/>
    <w:rsid w:val="00220C52"/>
    <w:rsid w:val="002230F2"/>
    <w:rsid w:val="00225ADC"/>
    <w:rsid w:val="00225B9E"/>
    <w:rsid w:val="00225C92"/>
    <w:rsid w:val="002267BB"/>
    <w:rsid w:val="00227BD1"/>
    <w:rsid w:val="0023123F"/>
    <w:rsid w:val="002325AE"/>
    <w:rsid w:val="00233898"/>
    <w:rsid w:val="00241BF1"/>
    <w:rsid w:val="002422EC"/>
    <w:rsid w:val="00242EA9"/>
    <w:rsid w:val="0024437B"/>
    <w:rsid w:val="002459DE"/>
    <w:rsid w:val="002470C0"/>
    <w:rsid w:val="002472A7"/>
    <w:rsid w:val="00247729"/>
    <w:rsid w:val="00247D59"/>
    <w:rsid w:val="002528A0"/>
    <w:rsid w:val="002536AF"/>
    <w:rsid w:val="00254C9E"/>
    <w:rsid w:val="002622EC"/>
    <w:rsid w:val="00263316"/>
    <w:rsid w:val="00263451"/>
    <w:rsid w:val="002658DA"/>
    <w:rsid w:val="0026672D"/>
    <w:rsid w:val="00270C77"/>
    <w:rsid w:val="00271F3E"/>
    <w:rsid w:val="002742AA"/>
    <w:rsid w:val="00274AF3"/>
    <w:rsid w:val="00275CC8"/>
    <w:rsid w:val="00276ECA"/>
    <w:rsid w:val="00282402"/>
    <w:rsid w:val="00282FAF"/>
    <w:rsid w:val="002843C7"/>
    <w:rsid w:val="00290F2B"/>
    <w:rsid w:val="0029350D"/>
    <w:rsid w:val="00294554"/>
    <w:rsid w:val="0029680C"/>
    <w:rsid w:val="00296D4F"/>
    <w:rsid w:val="002979D7"/>
    <w:rsid w:val="002A05FA"/>
    <w:rsid w:val="002A0884"/>
    <w:rsid w:val="002A26D4"/>
    <w:rsid w:val="002A27AB"/>
    <w:rsid w:val="002A2901"/>
    <w:rsid w:val="002A5A1A"/>
    <w:rsid w:val="002A6FF2"/>
    <w:rsid w:val="002A75C4"/>
    <w:rsid w:val="002A7A98"/>
    <w:rsid w:val="002B07F0"/>
    <w:rsid w:val="002B4EE6"/>
    <w:rsid w:val="002B51AA"/>
    <w:rsid w:val="002B5539"/>
    <w:rsid w:val="002B5664"/>
    <w:rsid w:val="002B74C3"/>
    <w:rsid w:val="002C01B0"/>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A9"/>
    <w:rsid w:val="002E10D0"/>
    <w:rsid w:val="002E41B0"/>
    <w:rsid w:val="002F1449"/>
    <w:rsid w:val="002F470F"/>
    <w:rsid w:val="002F4DB7"/>
    <w:rsid w:val="002F4DBA"/>
    <w:rsid w:val="002F5C79"/>
    <w:rsid w:val="00300C77"/>
    <w:rsid w:val="00301494"/>
    <w:rsid w:val="00301BD5"/>
    <w:rsid w:val="003020C2"/>
    <w:rsid w:val="003031F8"/>
    <w:rsid w:val="003033FE"/>
    <w:rsid w:val="00304405"/>
    <w:rsid w:val="00306511"/>
    <w:rsid w:val="003067AD"/>
    <w:rsid w:val="00306F3B"/>
    <w:rsid w:val="00307799"/>
    <w:rsid w:val="003110D9"/>
    <w:rsid w:val="003117D9"/>
    <w:rsid w:val="00311BC7"/>
    <w:rsid w:val="0031513B"/>
    <w:rsid w:val="003208C7"/>
    <w:rsid w:val="0032184E"/>
    <w:rsid w:val="00326138"/>
    <w:rsid w:val="00330B76"/>
    <w:rsid w:val="00331802"/>
    <w:rsid w:val="00333F76"/>
    <w:rsid w:val="00337398"/>
    <w:rsid w:val="00337566"/>
    <w:rsid w:val="0033784C"/>
    <w:rsid w:val="0034058C"/>
    <w:rsid w:val="00341C6C"/>
    <w:rsid w:val="00343658"/>
    <w:rsid w:val="00344EA4"/>
    <w:rsid w:val="00345496"/>
    <w:rsid w:val="0034733B"/>
    <w:rsid w:val="003507ED"/>
    <w:rsid w:val="00350FDC"/>
    <w:rsid w:val="00354DA5"/>
    <w:rsid w:val="00355333"/>
    <w:rsid w:val="00355ED6"/>
    <w:rsid w:val="00362B06"/>
    <w:rsid w:val="003638C1"/>
    <w:rsid w:val="003657B7"/>
    <w:rsid w:val="00365A1A"/>
    <w:rsid w:val="00367FDA"/>
    <w:rsid w:val="003742BE"/>
    <w:rsid w:val="003746B0"/>
    <w:rsid w:val="00374814"/>
    <w:rsid w:val="00376D62"/>
    <w:rsid w:val="00376F95"/>
    <w:rsid w:val="00381A61"/>
    <w:rsid w:val="0038264F"/>
    <w:rsid w:val="003842F0"/>
    <w:rsid w:val="00384955"/>
    <w:rsid w:val="0038571A"/>
    <w:rsid w:val="00387605"/>
    <w:rsid w:val="003878E6"/>
    <w:rsid w:val="00387FBC"/>
    <w:rsid w:val="00392166"/>
    <w:rsid w:val="00393E7F"/>
    <w:rsid w:val="00393FC8"/>
    <w:rsid w:val="003954D2"/>
    <w:rsid w:val="00397194"/>
    <w:rsid w:val="003A3B68"/>
    <w:rsid w:val="003A4DE9"/>
    <w:rsid w:val="003A5902"/>
    <w:rsid w:val="003A6A4D"/>
    <w:rsid w:val="003B2094"/>
    <w:rsid w:val="003B21BC"/>
    <w:rsid w:val="003B403A"/>
    <w:rsid w:val="003B4A82"/>
    <w:rsid w:val="003B6F49"/>
    <w:rsid w:val="003C02CA"/>
    <w:rsid w:val="003C1763"/>
    <w:rsid w:val="003C4311"/>
    <w:rsid w:val="003C766A"/>
    <w:rsid w:val="003C7F0E"/>
    <w:rsid w:val="003D011C"/>
    <w:rsid w:val="003D27B8"/>
    <w:rsid w:val="003D33D6"/>
    <w:rsid w:val="003D3CD0"/>
    <w:rsid w:val="003D598F"/>
    <w:rsid w:val="003D5D3B"/>
    <w:rsid w:val="003D6E24"/>
    <w:rsid w:val="003E1AEF"/>
    <w:rsid w:val="003E3E70"/>
    <w:rsid w:val="003E3E74"/>
    <w:rsid w:val="003E510F"/>
    <w:rsid w:val="003E52EC"/>
    <w:rsid w:val="003E55BC"/>
    <w:rsid w:val="003E6D8E"/>
    <w:rsid w:val="003E7497"/>
    <w:rsid w:val="003F2167"/>
    <w:rsid w:val="003F52A4"/>
    <w:rsid w:val="003F5E76"/>
    <w:rsid w:val="003F6C46"/>
    <w:rsid w:val="004017C8"/>
    <w:rsid w:val="004019AE"/>
    <w:rsid w:val="0040307D"/>
    <w:rsid w:val="0040386D"/>
    <w:rsid w:val="00404E8C"/>
    <w:rsid w:val="0041053A"/>
    <w:rsid w:val="00410642"/>
    <w:rsid w:val="00410AC3"/>
    <w:rsid w:val="00410B70"/>
    <w:rsid w:val="00412402"/>
    <w:rsid w:val="00417A21"/>
    <w:rsid w:val="004212DC"/>
    <w:rsid w:val="00421567"/>
    <w:rsid w:val="00424BAC"/>
    <w:rsid w:val="00424DD5"/>
    <w:rsid w:val="004251A5"/>
    <w:rsid w:val="0042526B"/>
    <w:rsid w:val="00432A4C"/>
    <w:rsid w:val="00433147"/>
    <w:rsid w:val="00435970"/>
    <w:rsid w:val="0043626D"/>
    <w:rsid w:val="00437749"/>
    <w:rsid w:val="004379CC"/>
    <w:rsid w:val="00441320"/>
    <w:rsid w:val="004444FC"/>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6549A"/>
    <w:rsid w:val="00472BE5"/>
    <w:rsid w:val="0047389D"/>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37E3"/>
    <w:rsid w:val="00494717"/>
    <w:rsid w:val="00494A06"/>
    <w:rsid w:val="004A310F"/>
    <w:rsid w:val="004B331D"/>
    <w:rsid w:val="004B48F1"/>
    <w:rsid w:val="004B494F"/>
    <w:rsid w:val="004B4F24"/>
    <w:rsid w:val="004B5660"/>
    <w:rsid w:val="004B7F0E"/>
    <w:rsid w:val="004C5AC1"/>
    <w:rsid w:val="004D13C3"/>
    <w:rsid w:val="004D1C27"/>
    <w:rsid w:val="004D3130"/>
    <w:rsid w:val="004D42A9"/>
    <w:rsid w:val="004E0E62"/>
    <w:rsid w:val="004E3306"/>
    <w:rsid w:val="004E3429"/>
    <w:rsid w:val="004E3788"/>
    <w:rsid w:val="004E6C6E"/>
    <w:rsid w:val="004E7C52"/>
    <w:rsid w:val="004F0CD4"/>
    <w:rsid w:val="004F2D28"/>
    <w:rsid w:val="004F3BC3"/>
    <w:rsid w:val="004F4566"/>
    <w:rsid w:val="004F4C1F"/>
    <w:rsid w:val="0050000D"/>
    <w:rsid w:val="00500FEC"/>
    <w:rsid w:val="00501978"/>
    <w:rsid w:val="00504C65"/>
    <w:rsid w:val="005065E5"/>
    <w:rsid w:val="0051600C"/>
    <w:rsid w:val="00520A84"/>
    <w:rsid w:val="00520B2C"/>
    <w:rsid w:val="00520EF5"/>
    <w:rsid w:val="00521DA4"/>
    <w:rsid w:val="0052204A"/>
    <w:rsid w:val="0052268A"/>
    <w:rsid w:val="005233B9"/>
    <w:rsid w:val="00523976"/>
    <w:rsid w:val="00523DB7"/>
    <w:rsid w:val="0052471F"/>
    <w:rsid w:val="00524974"/>
    <w:rsid w:val="0052513A"/>
    <w:rsid w:val="0052767A"/>
    <w:rsid w:val="00527B03"/>
    <w:rsid w:val="005328E2"/>
    <w:rsid w:val="0053358D"/>
    <w:rsid w:val="00534951"/>
    <w:rsid w:val="00535954"/>
    <w:rsid w:val="00536023"/>
    <w:rsid w:val="00536191"/>
    <w:rsid w:val="005364BD"/>
    <w:rsid w:val="00536A5A"/>
    <w:rsid w:val="00536E3A"/>
    <w:rsid w:val="005376ED"/>
    <w:rsid w:val="00547721"/>
    <w:rsid w:val="005503C0"/>
    <w:rsid w:val="0055217D"/>
    <w:rsid w:val="00552270"/>
    <w:rsid w:val="005547BA"/>
    <w:rsid w:val="005613F7"/>
    <w:rsid w:val="00561C19"/>
    <w:rsid w:val="00561FE2"/>
    <w:rsid w:val="005622A4"/>
    <w:rsid w:val="00562ABA"/>
    <w:rsid w:val="00563FB5"/>
    <w:rsid w:val="00565FF0"/>
    <w:rsid w:val="00566670"/>
    <w:rsid w:val="0057008C"/>
    <w:rsid w:val="00572644"/>
    <w:rsid w:val="00573FA2"/>
    <w:rsid w:val="00581DB0"/>
    <w:rsid w:val="00582215"/>
    <w:rsid w:val="00585C0E"/>
    <w:rsid w:val="0058671B"/>
    <w:rsid w:val="00587261"/>
    <w:rsid w:val="005875A2"/>
    <w:rsid w:val="00591B2E"/>
    <w:rsid w:val="00592519"/>
    <w:rsid w:val="00593BB5"/>
    <w:rsid w:val="00596B87"/>
    <w:rsid w:val="0059783D"/>
    <w:rsid w:val="005A059C"/>
    <w:rsid w:val="005A0E7A"/>
    <w:rsid w:val="005A28C9"/>
    <w:rsid w:val="005A3FA7"/>
    <w:rsid w:val="005A47F9"/>
    <w:rsid w:val="005A619E"/>
    <w:rsid w:val="005A6664"/>
    <w:rsid w:val="005B0AB7"/>
    <w:rsid w:val="005B11E5"/>
    <w:rsid w:val="005B14EB"/>
    <w:rsid w:val="005B14F2"/>
    <w:rsid w:val="005B303E"/>
    <w:rsid w:val="005B54F2"/>
    <w:rsid w:val="005B64D9"/>
    <w:rsid w:val="005B6F50"/>
    <w:rsid w:val="005B798C"/>
    <w:rsid w:val="005B7AF7"/>
    <w:rsid w:val="005C1BC8"/>
    <w:rsid w:val="005C335B"/>
    <w:rsid w:val="005C4241"/>
    <w:rsid w:val="005C629B"/>
    <w:rsid w:val="005C7DD0"/>
    <w:rsid w:val="005D07FC"/>
    <w:rsid w:val="005D12B6"/>
    <w:rsid w:val="005D2854"/>
    <w:rsid w:val="005D4AA7"/>
    <w:rsid w:val="005D559C"/>
    <w:rsid w:val="005D67DE"/>
    <w:rsid w:val="005E0625"/>
    <w:rsid w:val="005E181C"/>
    <w:rsid w:val="005E30F0"/>
    <w:rsid w:val="005E3167"/>
    <w:rsid w:val="005E4417"/>
    <w:rsid w:val="005E58A7"/>
    <w:rsid w:val="005F0B89"/>
    <w:rsid w:val="005F0C00"/>
    <w:rsid w:val="005F5682"/>
    <w:rsid w:val="005F648A"/>
    <w:rsid w:val="005F72F4"/>
    <w:rsid w:val="006044FB"/>
    <w:rsid w:val="006051E7"/>
    <w:rsid w:val="00606295"/>
    <w:rsid w:val="00606524"/>
    <w:rsid w:val="006066CA"/>
    <w:rsid w:val="00611C84"/>
    <w:rsid w:val="00612B65"/>
    <w:rsid w:val="006144E3"/>
    <w:rsid w:val="006175FC"/>
    <w:rsid w:val="00617C40"/>
    <w:rsid w:val="00621F5C"/>
    <w:rsid w:val="006235ED"/>
    <w:rsid w:val="00624490"/>
    <w:rsid w:val="0063331F"/>
    <w:rsid w:val="006335CD"/>
    <w:rsid w:val="00633FEC"/>
    <w:rsid w:val="0063597F"/>
    <w:rsid w:val="00637A2B"/>
    <w:rsid w:val="006400D4"/>
    <w:rsid w:val="00642AF7"/>
    <w:rsid w:val="00642D62"/>
    <w:rsid w:val="00643D34"/>
    <w:rsid w:val="00644AFE"/>
    <w:rsid w:val="00645680"/>
    <w:rsid w:val="006503EA"/>
    <w:rsid w:val="00651C7F"/>
    <w:rsid w:val="00652FD2"/>
    <w:rsid w:val="00654370"/>
    <w:rsid w:val="00655FE8"/>
    <w:rsid w:val="00656234"/>
    <w:rsid w:val="00657B19"/>
    <w:rsid w:val="006617AB"/>
    <w:rsid w:val="00662D72"/>
    <w:rsid w:val="00662DEB"/>
    <w:rsid w:val="006639E9"/>
    <w:rsid w:val="00671723"/>
    <w:rsid w:val="006730D5"/>
    <w:rsid w:val="00674162"/>
    <w:rsid w:val="00676A54"/>
    <w:rsid w:val="00677603"/>
    <w:rsid w:val="006777EA"/>
    <w:rsid w:val="00677811"/>
    <w:rsid w:val="0068193F"/>
    <w:rsid w:val="00681BB8"/>
    <w:rsid w:val="00681C07"/>
    <w:rsid w:val="00682AF5"/>
    <w:rsid w:val="00684236"/>
    <w:rsid w:val="0068602D"/>
    <w:rsid w:val="00686FEF"/>
    <w:rsid w:val="0068796D"/>
    <w:rsid w:val="00690253"/>
    <w:rsid w:val="006907B4"/>
    <w:rsid w:val="006919BC"/>
    <w:rsid w:val="00692714"/>
    <w:rsid w:val="006942C0"/>
    <w:rsid w:val="006943AE"/>
    <w:rsid w:val="00694527"/>
    <w:rsid w:val="00694561"/>
    <w:rsid w:val="006A0620"/>
    <w:rsid w:val="006A0FE4"/>
    <w:rsid w:val="006A21D9"/>
    <w:rsid w:val="006A58F3"/>
    <w:rsid w:val="006A6755"/>
    <w:rsid w:val="006A6C7D"/>
    <w:rsid w:val="006A6D27"/>
    <w:rsid w:val="006B16DE"/>
    <w:rsid w:val="006B3DB4"/>
    <w:rsid w:val="006B5BE2"/>
    <w:rsid w:val="006B6395"/>
    <w:rsid w:val="006B6C08"/>
    <w:rsid w:val="006B7746"/>
    <w:rsid w:val="006C0643"/>
    <w:rsid w:val="006C0E34"/>
    <w:rsid w:val="006C4ABA"/>
    <w:rsid w:val="006D2FD4"/>
    <w:rsid w:val="006D36A8"/>
    <w:rsid w:val="006D38FB"/>
    <w:rsid w:val="006D41DD"/>
    <w:rsid w:val="006D4A24"/>
    <w:rsid w:val="006D61E6"/>
    <w:rsid w:val="006D71A2"/>
    <w:rsid w:val="006D73F0"/>
    <w:rsid w:val="006E052D"/>
    <w:rsid w:val="006E0D8D"/>
    <w:rsid w:val="006E1592"/>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6C79"/>
    <w:rsid w:val="00710093"/>
    <w:rsid w:val="0071383F"/>
    <w:rsid w:val="00714401"/>
    <w:rsid w:val="00716480"/>
    <w:rsid w:val="00720B8A"/>
    <w:rsid w:val="007257AE"/>
    <w:rsid w:val="00730D40"/>
    <w:rsid w:val="007310C7"/>
    <w:rsid w:val="0073318F"/>
    <w:rsid w:val="007337F6"/>
    <w:rsid w:val="00735747"/>
    <w:rsid w:val="00736FB1"/>
    <w:rsid w:val="00737B62"/>
    <w:rsid w:val="00741229"/>
    <w:rsid w:val="00742890"/>
    <w:rsid w:val="007432C4"/>
    <w:rsid w:val="00743FDD"/>
    <w:rsid w:val="00744A70"/>
    <w:rsid w:val="0074508E"/>
    <w:rsid w:val="00745DF8"/>
    <w:rsid w:val="007511BB"/>
    <w:rsid w:val="007536A1"/>
    <w:rsid w:val="00753C29"/>
    <w:rsid w:val="00753FFB"/>
    <w:rsid w:val="00754A9E"/>
    <w:rsid w:val="007606B1"/>
    <w:rsid w:val="00761C4D"/>
    <w:rsid w:val="00763D44"/>
    <w:rsid w:val="00765DCC"/>
    <w:rsid w:val="00766EE3"/>
    <w:rsid w:val="00770B78"/>
    <w:rsid w:val="007716C9"/>
    <w:rsid w:val="00772492"/>
    <w:rsid w:val="0077288A"/>
    <w:rsid w:val="0077410B"/>
    <w:rsid w:val="0077550F"/>
    <w:rsid w:val="0077647A"/>
    <w:rsid w:val="00780E9E"/>
    <w:rsid w:val="007818D3"/>
    <w:rsid w:val="00784805"/>
    <w:rsid w:val="00785936"/>
    <w:rsid w:val="00785FC2"/>
    <w:rsid w:val="00787F88"/>
    <w:rsid w:val="00787FA1"/>
    <w:rsid w:val="00790475"/>
    <w:rsid w:val="007939B8"/>
    <w:rsid w:val="00795C21"/>
    <w:rsid w:val="00796AE4"/>
    <w:rsid w:val="007974EA"/>
    <w:rsid w:val="007A6451"/>
    <w:rsid w:val="007A7416"/>
    <w:rsid w:val="007A7652"/>
    <w:rsid w:val="007B02BE"/>
    <w:rsid w:val="007B182E"/>
    <w:rsid w:val="007B2684"/>
    <w:rsid w:val="007B73E1"/>
    <w:rsid w:val="007C2055"/>
    <w:rsid w:val="007C22C0"/>
    <w:rsid w:val="007C2347"/>
    <w:rsid w:val="007C516C"/>
    <w:rsid w:val="007C5741"/>
    <w:rsid w:val="007D1501"/>
    <w:rsid w:val="007D1932"/>
    <w:rsid w:val="007D32B0"/>
    <w:rsid w:val="007D40B3"/>
    <w:rsid w:val="007D4FFE"/>
    <w:rsid w:val="007E1344"/>
    <w:rsid w:val="007E1350"/>
    <w:rsid w:val="007E252F"/>
    <w:rsid w:val="007E6518"/>
    <w:rsid w:val="007E7A17"/>
    <w:rsid w:val="007F2463"/>
    <w:rsid w:val="007F26E2"/>
    <w:rsid w:val="007F6096"/>
    <w:rsid w:val="00806743"/>
    <w:rsid w:val="00811D8C"/>
    <w:rsid w:val="00811DD5"/>
    <w:rsid w:val="0081544B"/>
    <w:rsid w:val="00817034"/>
    <w:rsid w:val="00817879"/>
    <w:rsid w:val="00820C0E"/>
    <w:rsid w:val="00821BA4"/>
    <w:rsid w:val="008246C8"/>
    <w:rsid w:val="00825269"/>
    <w:rsid w:val="00827179"/>
    <w:rsid w:val="00827A4B"/>
    <w:rsid w:val="00831C1E"/>
    <w:rsid w:val="008332FB"/>
    <w:rsid w:val="00834BCC"/>
    <w:rsid w:val="008353D7"/>
    <w:rsid w:val="00836174"/>
    <w:rsid w:val="00836556"/>
    <w:rsid w:val="00836871"/>
    <w:rsid w:val="00837252"/>
    <w:rsid w:val="00837467"/>
    <w:rsid w:val="008410F3"/>
    <w:rsid w:val="00846472"/>
    <w:rsid w:val="00846762"/>
    <w:rsid w:val="00847F3D"/>
    <w:rsid w:val="00850667"/>
    <w:rsid w:val="00854C44"/>
    <w:rsid w:val="008563C0"/>
    <w:rsid w:val="00857F6A"/>
    <w:rsid w:val="00862772"/>
    <w:rsid w:val="008635F2"/>
    <w:rsid w:val="00864EDB"/>
    <w:rsid w:val="00864F39"/>
    <w:rsid w:val="00870E5A"/>
    <w:rsid w:val="008718A7"/>
    <w:rsid w:val="00872827"/>
    <w:rsid w:val="00877E85"/>
    <w:rsid w:val="008805E8"/>
    <w:rsid w:val="00882F8B"/>
    <w:rsid w:val="00883718"/>
    <w:rsid w:val="00886E35"/>
    <w:rsid w:val="00892886"/>
    <w:rsid w:val="00892DAC"/>
    <w:rsid w:val="00894324"/>
    <w:rsid w:val="008969C1"/>
    <w:rsid w:val="008974B7"/>
    <w:rsid w:val="00897DC4"/>
    <w:rsid w:val="008A0ABA"/>
    <w:rsid w:val="008A2B13"/>
    <w:rsid w:val="008A372E"/>
    <w:rsid w:val="008A4515"/>
    <w:rsid w:val="008A4698"/>
    <w:rsid w:val="008A7A6C"/>
    <w:rsid w:val="008A7DE9"/>
    <w:rsid w:val="008B0C09"/>
    <w:rsid w:val="008B1E80"/>
    <w:rsid w:val="008B3868"/>
    <w:rsid w:val="008B51AB"/>
    <w:rsid w:val="008B534F"/>
    <w:rsid w:val="008C24EB"/>
    <w:rsid w:val="008C2790"/>
    <w:rsid w:val="008C2E5C"/>
    <w:rsid w:val="008C3EDE"/>
    <w:rsid w:val="008C524B"/>
    <w:rsid w:val="008C5A01"/>
    <w:rsid w:val="008C68BC"/>
    <w:rsid w:val="008D373D"/>
    <w:rsid w:val="008D54C1"/>
    <w:rsid w:val="008D656C"/>
    <w:rsid w:val="008D7BB8"/>
    <w:rsid w:val="008E09CE"/>
    <w:rsid w:val="008E09EA"/>
    <w:rsid w:val="008E34C9"/>
    <w:rsid w:val="008E436C"/>
    <w:rsid w:val="008E7D03"/>
    <w:rsid w:val="008F3363"/>
    <w:rsid w:val="008F4978"/>
    <w:rsid w:val="008F4C7F"/>
    <w:rsid w:val="008F506A"/>
    <w:rsid w:val="008F5714"/>
    <w:rsid w:val="008F5F3D"/>
    <w:rsid w:val="008F6C78"/>
    <w:rsid w:val="008F6DDD"/>
    <w:rsid w:val="008F6FE6"/>
    <w:rsid w:val="008F7CE8"/>
    <w:rsid w:val="00900D3F"/>
    <w:rsid w:val="00901FB3"/>
    <w:rsid w:val="00903F1E"/>
    <w:rsid w:val="00905D49"/>
    <w:rsid w:val="009064FF"/>
    <w:rsid w:val="0090660E"/>
    <w:rsid w:val="009108C5"/>
    <w:rsid w:val="009110B9"/>
    <w:rsid w:val="0091410D"/>
    <w:rsid w:val="00915BDE"/>
    <w:rsid w:val="00922051"/>
    <w:rsid w:val="00923522"/>
    <w:rsid w:val="0092381E"/>
    <w:rsid w:val="00923DEA"/>
    <w:rsid w:val="009240A3"/>
    <w:rsid w:val="00925008"/>
    <w:rsid w:val="00925374"/>
    <w:rsid w:val="00925B65"/>
    <w:rsid w:val="00926E26"/>
    <w:rsid w:val="0092735A"/>
    <w:rsid w:val="00931680"/>
    <w:rsid w:val="0093283E"/>
    <w:rsid w:val="0093291B"/>
    <w:rsid w:val="0093797C"/>
    <w:rsid w:val="00937DDE"/>
    <w:rsid w:val="00941381"/>
    <w:rsid w:val="00943377"/>
    <w:rsid w:val="00947099"/>
    <w:rsid w:val="009472A5"/>
    <w:rsid w:val="00947974"/>
    <w:rsid w:val="009534F2"/>
    <w:rsid w:val="00953511"/>
    <w:rsid w:val="00954C30"/>
    <w:rsid w:val="00956A89"/>
    <w:rsid w:val="0096317C"/>
    <w:rsid w:val="00965086"/>
    <w:rsid w:val="0096538C"/>
    <w:rsid w:val="00965D26"/>
    <w:rsid w:val="009660FE"/>
    <w:rsid w:val="009665A3"/>
    <w:rsid w:val="00966EC0"/>
    <w:rsid w:val="00967B5B"/>
    <w:rsid w:val="00970B9C"/>
    <w:rsid w:val="00971836"/>
    <w:rsid w:val="00972036"/>
    <w:rsid w:val="00973407"/>
    <w:rsid w:val="00973964"/>
    <w:rsid w:val="00973AC7"/>
    <w:rsid w:val="0097492D"/>
    <w:rsid w:val="00975C9C"/>
    <w:rsid w:val="00981420"/>
    <w:rsid w:val="009822C4"/>
    <w:rsid w:val="00984C52"/>
    <w:rsid w:val="009851A9"/>
    <w:rsid w:val="00985417"/>
    <w:rsid w:val="00990889"/>
    <w:rsid w:val="00990997"/>
    <w:rsid w:val="00991B0C"/>
    <w:rsid w:val="00991BCE"/>
    <w:rsid w:val="00993FC8"/>
    <w:rsid w:val="00996294"/>
    <w:rsid w:val="00996545"/>
    <w:rsid w:val="009A0088"/>
    <w:rsid w:val="009A166A"/>
    <w:rsid w:val="009A1BEB"/>
    <w:rsid w:val="009A1E0A"/>
    <w:rsid w:val="009A287B"/>
    <w:rsid w:val="009A3F2B"/>
    <w:rsid w:val="009A66F0"/>
    <w:rsid w:val="009A7422"/>
    <w:rsid w:val="009B036A"/>
    <w:rsid w:val="009B089A"/>
    <w:rsid w:val="009B2C73"/>
    <w:rsid w:val="009B33E9"/>
    <w:rsid w:val="009B528F"/>
    <w:rsid w:val="009C0879"/>
    <w:rsid w:val="009C186F"/>
    <w:rsid w:val="009C2A59"/>
    <w:rsid w:val="009C2EFC"/>
    <w:rsid w:val="009C336B"/>
    <w:rsid w:val="009C6B00"/>
    <w:rsid w:val="009C7B2B"/>
    <w:rsid w:val="009D0FD9"/>
    <w:rsid w:val="009D3277"/>
    <w:rsid w:val="009D360D"/>
    <w:rsid w:val="009D3BD0"/>
    <w:rsid w:val="009D4906"/>
    <w:rsid w:val="009D513C"/>
    <w:rsid w:val="009D5184"/>
    <w:rsid w:val="009E0520"/>
    <w:rsid w:val="009E07FD"/>
    <w:rsid w:val="009E13C4"/>
    <w:rsid w:val="009E4832"/>
    <w:rsid w:val="009E570F"/>
    <w:rsid w:val="009E6FB5"/>
    <w:rsid w:val="009F029C"/>
    <w:rsid w:val="009F1510"/>
    <w:rsid w:val="009F1541"/>
    <w:rsid w:val="009F1A57"/>
    <w:rsid w:val="009F34C2"/>
    <w:rsid w:val="009F40CE"/>
    <w:rsid w:val="009F4345"/>
    <w:rsid w:val="009F4E41"/>
    <w:rsid w:val="00A0020F"/>
    <w:rsid w:val="00A0108B"/>
    <w:rsid w:val="00A01CE2"/>
    <w:rsid w:val="00A02ED0"/>
    <w:rsid w:val="00A02F87"/>
    <w:rsid w:val="00A046F3"/>
    <w:rsid w:val="00A07F4A"/>
    <w:rsid w:val="00A10627"/>
    <w:rsid w:val="00A119B9"/>
    <w:rsid w:val="00A12332"/>
    <w:rsid w:val="00A1249B"/>
    <w:rsid w:val="00A12A60"/>
    <w:rsid w:val="00A1625F"/>
    <w:rsid w:val="00A1660A"/>
    <w:rsid w:val="00A21227"/>
    <w:rsid w:val="00A21392"/>
    <w:rsid w:val="00A21664"/>
    <w:rsid w:val="00A22C8A"/>
    <w:rsid w:val="00A23154"/>
    <w:rsid w:val="00A23221"/>
    <w:rsid w:val="00A252DF"/>
    <w:rsid w:val="00A26E79"/>
    <w:rsid w:val="00A31A45"/>
    <w:rsid w:val="00A31DE0"/>
    <w:rsid w:val="00A32508"/>
    <w:rsid w:val="00A3568F"/>
    <w:rsid w:val="00A377CD"/>
    <w:rsid w:val="00A379BD"/>
    <w:rsid w:val="00A37D27"/>
    <w:rsid w:val="00A45DA2"/>
    <w:rsid w:val="00A46EA5"/>
    <w:rsid w:val="00A479FB"/>
    <w:rsid w:val="00A47BBF"/>
    <w:rsid w:val="00A47CD9"/>
    <w:rsid w:val="00A52877"/>
    <w:rsid w:val="00A5616F"/>
    <w:rsid w:val="00A561E8"/>
    <w:rsid w:val="00A56842"/>
    <w:rsid w:val="00A616C5"/>
    <w:rsid w:val="00A61CA3"/>
    <w:rsid w:val="00A61FB6"/>
    <w:rsid w:val="00A63017"/>
    <w:rsid w:val="00A64448"/>
    <w:rsid w:val="00A65B9A"/>
    <w:rsid w:val="00A674F2"/>
    <w:rsid w:val="00A70ED1"/>
    <w:rsid w:val="00A71652"/>
    <w:rsid w:val="00A726EF"/>
    <w:rsid w:val="00A73818"/>
    <w:rsid w:val="00A73CA7"/>
    <w:rsid w:val="00A7427D"/>
    <w:rsid w:val="00A74F6E"/>
    <w:rsid w:val="00A75B4C"/>
    <w:rsid w:val="00A76CED"/>
    <w:rsid w:val="00A80840"/>
    <w:rsid w:val="00A8562F"/>
    <w:rsid w:val="00A87D0B"/>
    <w:rsid w:val="00A913D7"/>
    <w:rsid w:val="00A920A8"/>
    <w:rsid w:val="00A92252"/>
    <w:rsid w:val="00A93494"/>
    <w:rsid w:val="00A9405C"/>
    <w:rsid w:val="00A9418A"/>
    <w:rsid w:val="00A941D2"/>
    <w:rsid w:val="00A953B2"/>
    <w:rsid w:val="00A96F71"/>
    <w:rsid w:val="00AA112D"/>
    <w:rsid w:val="00AA318E"/>
    <w:rsid w:val="00AA3E97"/>
    <w:rsid w:val="00AA517C"/>
    <w:rsid w:val="00AA7731"/>
    <w:rsid w:val="00AB0368"/>
    <w:rsid w:val="00AB265D"/>
    <w:rsid w:val="00AB409A"/>
    <w:rsid w:val="00AB43E0"/>
    <w:rsid w:val="00AB5A0C"/>
    <w:rsid w:val="00AB5DF9"/>
    <w:rsid w:val="00AB78A7"/>
    <w:rsid w:val="00AC1EB9"/>
    <w:rsid w:val="00AC45D3"/>
    <w:rsid w:val="00AC5AED"/>
    <w:rsid w:val="00AD1F56"/>
    <w:rsid w:val="00AD3BE5"/>
    <w:rsid w:val="00AD4DAF"/>
    <w:rsid w:val="00AD4DCB"/>
    <w:rsid w:val="00AD5CC4"/>
    <w:rsid w:val="00AD6ADB"/>
    <w:rsid w:val="00AE0161"/>
    <w:rsid w:val="00AE37CB"/>
    <w:rsid w:val="00AE4634"/>
    <w:rsid w:val="00AF0E19"/>
    <w:rsid w:val="00AF0EC6"/>
    <w:rsid w:val="00AF213C"/>
    <w:rsid w:val="00AF2299"/>
    <w:rsid w:val="00AF33C1"/>
    <w:rsid w:val="00AF3484"/>
    <w:rsid w:val="00AF421E"/>
    <w:rsid w:val="00AF466D"/>
    <w:rsid w:val="00AF4972"/>
    <w:rsid w:val="00AF49CD"/>
    <w:rsid w:val="00AF688A"/>
    <w:rsid w:val="00B008BD"/>
    <w:rsid w:val="00B00B67"/>
    <w:rsid w:val="00B00BC1"/>
    <w:rsid w:val="00B0126B"/>
    <w:rsid w:val="00B023E0"/>
    <w:rsid w:val="00B03FD4"/>
    <w:rsid w:val="00B05395"/>
    <w:rsid w:val="00B06766"/>
    <w:rsid w:val="00B0772F"/>
    <w:rsid w:val="00B10140"/>
    <w:rsid w:val="00B117C6"/>
    <w:rsid w:val="00B12216"/>
    <w:rsid w:val="00B13DFF"/>
    <w:rsid w:val="00B1458C"/>
    <w:rsid w:val="00B148A9"/>
    <w:rsid w:val="00B200E3"/>
    <w:rsid w:val="00B23644"/>
    <w:rsid w:val="00B23C7D"/>
    <w:rsid w:val="00B25D75"/>
    <w:rsid w:val="00B25DB5"/>
    <w:rsid w:val="00B26CD5"/>
    <w:rsid w:val="00B301AB"/>
    <w:rsid w:val="00B34D7D"/>
    <w:rsid w:val="00B34F16"/>
    <w:rsid w:val="00B3542A"/>
    <w:rsid w:val="00B35D8E"/>
    <w:rsid w:val="00B36DC9"/>
    <w:rsid w:val="00B402E5"/>
    <w:rsid w:val="00B41E48"/>
    <w:rsid w:val="00B467CB"/>
    <w:rsid w:val="00B478FE"/>
    <w:rsid w:val="00B540C3"/>
    <w:rsid w:val="00B54FAB"/>
    <w:rsid w:val="00B5621D"/>
    <w:rsid w:val="00B62EA7"/>
    <w:rsid w:val="00B636B2"/>
    <w:rsid w:val="00B63F4B"/>
    <w:rsid w:val="00B733C2"/>
    <w:rsid w:val="00B738A1"/>
    <w:rsid w:val="00B75321"/>
    <w:rsid w:val="00B75665"/>
    <w:rsid w:val="00B809CD"/>
    <w:rsid w:val="00B826DA"/>
    <w:rsid w:val="00B82A3E"/>
    <w:rsid w:val="00B83FE9"/>
    <w:rsid w:val="00B84823"/>
    <w:rsid w:val="00B853E5"/>
    <w:rsid w:val="00B856A9"/>
    <w:rsid w:val="00B865F9"/>
    <w:rsid w:val="00B87317"/>
    <w:rsid w:val="00B91279"/>
    <w:rsid w:val="00B91D02"/>
    <w:rsid w:val="00B929C6"/>
    <w:rsid w:val="00B93ADA"/>
    <w:rsid w:val="00B95263"/>
    <w:rsid w:val="00B96C05"/>
    <w:rsid w:val="00B97878"/>
    <w:rsid w:val="00BA2E15"/>
    <w:rsid w:val="00BA38E7"/>
    <w:rsid w:val="00BA4898"/>
    <w:rsid w:val="00BA5D4B"/>
    <w:rsid w:val="00BA6828"/>
    <w:rsid w:val="00BA6CC9"/>
    <w:rsid w:val="00BB1AC1"/>
    <w:rsid w:val="00BB652E"/>
    <w:rsid w:val="00BC1D80"/>
    <w:rsid w:val="00BC1EA5"/>
    <w:rsid w:val="00BC1F5B"/>
    <w:rsid w:val="00BC3915"/>
    <w:rsid w:val="00BC39BA"/>
    <w:rsid w:val="00BC4723"/>
    <w:rsid w:val="00BC560D"/>
    <w:rsid w:val="00BC5C52"/>
    <w:rsid w:val="00BC6E26"/>
    <w:rsid w:val="00BC72DB"/>
    <w:rsid w:val="00BD02E3"/>
    <w:rsid w:val="00BD2BAA"/>
    <w:rsid w:val="00BD3E7C"/>
    <w:rsid w:val="00BD4B5F"/>
    <w:rsid w:val="00BD5C71"/>
    <w:rsid w:val="00BE0066"/>
    <w:rsid w:val="00BE0615"/>
    <w:rsid w:val="00BE144B"/>
    <w:rsid w:val="00BE316C"/>
    <w:rsid w:val="00BE4617"/>
    <w:rsid w:val="00BE56E6"/>
    <w:rsid w:val="00BF0B16"/>
    <w:rsid w:val="00BF1068"/>
    <w:rsid w:val="00BF2461"/>
    <w:rsid w:val="00BF27B6"/>
    <w:rsid w:val="00BF5A24"/>
    <w:rsid w:val="00C00BD1"/>
    <w:rsid w:val="00C00C48"/>
    <w:rsid w:val="00C01863"/>
    <w:rsid w:val="00C03A49"/>
    <w:rsid w:val="00C100E2"/>
    <w:rsid w:val="00C10E75"/>
    <w:rsid w:val="00C11DE8"/>
    <w:rsid w:val="00C12947"/>
    <w:rsid w:val="00C13CAC"/>
    <w:rsid w:val="00C150A0"/>
    <w:rsid w:val="00C1532D"/>
    <w:rsid w:val="00C21BD5"/>
    <w:rsid w:val="00C224F7"/>
    <w:rsid w:val="00C22A46"/>
    <w:rsid w:val="00C237AC"/>
    <w:rsid w:val="00C2430B"/>
    <w:rsid w:val="00C25E1C"/>
    <w:rsid w:val="00C3009A"/>
    <w:rsid w:val="00C349EA"/>
    <w:rsid w:val="00C358EC"/>
    <w:rsid w:val="00C3691B"/>
    <w:rsid w:val="00C410D2"/>
    <w:rsid w:val="00C414F9"/>
    <w:rsid w:val="00C421E1"/>
    <w:rsid w:val="00C42931"/>
    <w:rsid w:val="00C43B58"/>
    <w:rsid w:val="00C46414"/>
    <w:rsid w:val="00C506B5"/>
    <w:rsid w:val="00C51FBF"/>
    <w:rsid w:val="00C53358"/>
    <w:rsid w:val="00C56208"/>
    <w:rsid w:val="00C61094"/>
    <w:rsid w:val="00C61725"/>
    <w:rsid w:val="00C6287E"/>
    <w:rsid w:val="00C62EBC"/>
    <w:rsid w:val="00C6389C"/>
    <w:rsid w:val="00C63B3E"/>
    <w:rsid w:val="00C64FE4"/>
    <w:rsid w:val="00C65BF3"/>
    <w:rsid w:val="00C7031A"/>
    <w:rsid w:val="00C715DC"/>
    <w:rsid w:val="00C720E1"/>
    <w:rsid w:val="00C73F1F"/>
    <w:rsid w:val="00C742E9"/>
    <w:rsid w:val="00C75272"/>
    <w:rsid w:val="00C829AF"/>
    <w:rsid w:val="00C8416C"/>
    <w:rsid w:val="00C84694"/>
    <w:rsid w:val="00C8578D"/>
    <w:rsid w:val="00C857EE"/>
    <w:rsid w:val="00C875EF"/>
    <w:rsid w:val="00C8784A"/>
    <w:rsid w:val="00C90686"/>
    <w:rsid w:val="00C907FB"/>
    <w:rsid w:val="00C909E6"/>
    <w:rsid w:val="00C93313"/>
    <w:rsid w:val="00C978E3"/>
    <w:rsid w:val="00C97915"/>
    <w:rsid w:val="00C97BCD"/>
    <w:rsid w:val="00CA1ED9"/>
    <w:rsid w:val="00CA2985"/>
    <w:rsid w:val="00CA3EBF"/>
    <w:rsid w:val="00CA73C4"/>
    <w:rsid w:val="00CA75AC"/>
    <w:rsid w:val="00CB0E24"/>
    <w:rsid w:val="00CB2297"/>
    <w:rsid w:val="00CB2CA6"/>
    <w:rsid w:val="00CB57CE"/>
    <w:rsid w:val="00CB6194"/>
    <w:rsid w:val="00CB737A"/>
    <w:rsid w:val="00CC2381"/>
    <w:rsid w:val="00CC3070"/>
    <w:rsid w:val="00CC34D1"/>
    <w:rsid w:val="00CC391E"/>
    <w:rsid w:val="00CC3BD8"/>
    <w:rsid w:val="00CD71E8"/>
    <w:rsid w:val="00CE0A32"/>
    <w:rsid w:val="00CE1850"/>
    <w:rsid w:val="00CE30B1"/>
    <w:rsid w:val="00CE4F73"/>
    <w:rsid w:val="00CE5A5A"/>
    <w:rsid w:val="00CE5B60"/>
    <w:rsid w:val="00CE5BDF"/>
    <w:rsid w:val="00CE5D9E"/>
    <w:rsid w:val="00CE7ECA"/>
    <w:rsid w:val="00CF06D9"/>
    <w:rsid w:val="00CF1155"/>
    <w:rsid w:val="00CF12A6"/>
    <w:rsid w:val="00CF197F"/>
    <w:rsid w:val="00CF1EB2"/>
    <w:rsid w:val="00CF3067"/>
    <w:rsid w:val="00CF3BDE"/>
    <w:rsid w:val="00CF4158"/>
    <w:rsid w:val="00CF7C56"/>
    <w:rsid w:val="00D0175D"/>
    <w:rsid w:val="00D02330"/>
    <w:rsid w:val="00D032D8"/>
    <w:rsid w:val="00D03BE6"/>
    <w:rsid w:val="00D03C48"/>
    <w:rsid w:val="00D049F1"/>
    <w:rsid w:val="00D04E41"/>
    <w:rsid w:val="00D0532C"/>
    <w:rsid w:val="00D1000B"/>
    <w:rsid w:val="00D13DCE"/>
    <w:rsid w:val="00D154C7"/>
    <w:rsid w:val="00D15510"/>
    <w:rsid w:val="00D176A2"/>
    <w:rsid w:val="00D20075"/>
    <w:rsid w:val="00D212FC"/>
    <w:rsid w:val="00D23AFB"/>
    <w:rsid w:val="00D24C05"/>
    <w:rsid w:val="00D25DE3"/>
    <w:rsid w:val="00D26B33"/>
    <w:rsid w:val="00D315C0"/>
    <w:rsid w:val="00D34C37"/>
    <w:rsid w:val="00D34E39"/>
    <w:rsid w:val="00D3534C"/>
    <w:rsid w:val="00D354F4"/>
    <w:rsid w:val="00D3552A"/>
    <w:rsid w:val="00D4002E"/>
    <w:rsid w:val="00D40CEC"/>
    <w:rsid w:val="00D41738"/>
    <w:rsid w:val="00D417EE"/>
    <w:rsid w:val="00D433B3"/>
    <w:rsid w:val="00D443CC"/>
    <w:rsid w:val="00D4461A"/>
    <w:rsid w:val="00D46894"/>
    <w:rsid w:val="00D507F4"/>
    <w:rsid w:val="00D50C1E"/>
    <w:rsid w:val="00D52BE8"/>
    <w:rsid w:val="00D55C10"/>
    <w:rsid w:val="00D579A2"/>
    <w:rsid w:val="00D600B3"/>
    <w:rsid w:val="00D6569E"/>
    <w:rsid w:val="00D72851"/>
    <w:rsid w:val="00D73B09"/>
    <w:rsid w:val="00D75C7C"/>
    <w:rsid w:val="00D761F0"/>
    <w:rsid w:val="00D76A57"/>
    <w:rsid w:val="00D772DE"/>
    <w:rsid w:val="00D7741C"/>
    <w:rsid w:val="00D81A63"/>
    <w:rsid w:val="00D8797A"/>
    <w:rsid w:val="00D914A6"/>
    <w:rsid w:val="00D92C31"/>
    <w:rsid w:val="00D92FC9"/>
    <w:rsid w:val="00D9330F"/>
    <w:rsid w:val="00D93532"/>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1ACB"/>
    <w:rsid w:val="00DC2510"/>
    <w:rsid w:val="00DC4B80"/>
    <w:rsid w:val="00DC59C1"/>
    <w:rsid w:val="00DC775F"/>
    <w:rsid w:val="00DC7921"/>
    <w:rsid w:val="00DD1D03"/>
    <w:rsid w:val="00DD32AF"/>
    <w:rsid w:val="00DD5045"/>
    <w:rsid w:val="00DD5E9A"/>
    <w:rsid w:val="00DD6EE9"/>
    <w:rsid w:val="00DE0F6B"/>
    <w:rsid w:val="00DE1473"/>
    <w:rsid w:val="00DE49FC"/>
    <w:rsid w:val="00DE5DD6"/>
    <w:rsid w:val="00DF15FA"/>
    <w:rsid w:val="00DF2F5C"/>
    <w:rsid w:val="00DF3530"/>
    <w:rsid w:val="00DF558F"/>
    <w:rsid w:val="00DF55B1"/>
    <w:rsid w:val="00DF6D2A"/>
    <w:rsid w:val="00DF7B8A"/>
    <w:rsid w:val="00E0238B"/>
    <w:rsid w:val="00E03047"/>
    <w:rsid w:val="00E06D2A"/>
    <w:rsid w:val="00E1169E"/>
    <w:rsid w:val="00E119A2"/>
    <w:rsid w:val="00E12DE5"/>
    <w:rsid w:val="00E15311"/>
    <w:rsid w:val="00E16FDA"/>
    <w:rsid w:val="00E20068"/>
    <w:rsid w:val="00E20573"/>
    <w:rsid w:val="00E20A47"/>
    <w:rsid w:val="00E2309E"/>
    <w:rsid w:val="00E23B0B"/>
    <w:rsid w:val="00E23C4C"/>
    <w:rsid w:val="00E25F72"/>
    <w:rsid w:val="00E30D77"/>
    <w:rsid w:val="00E3316F"/>
    <w:rsid w:val="00E35197"/>
    <w:rsid w:val="00E3629C"/>
    <w:rsid w:val="00E37CB1"/>
    <w:rsid w:val="00E37EBB"/>
    <w:rsid w:val="00E41A39"/>
    <w:rsid w:val="00E439DF"/>
    <w:rsid w:val="00E44356"/>
    <w:rsid w:val="00E44DE9"/>
    <w:rsid w:val="00E464F5"/>
    <w:rsid w:val="00E51231"/>
    <w:rsid w:val="00E512B9"/>
    <w:rsid w:val="00E57433"/>
    <w:rsid w:val="00E639CA"/>
    <w:rsid w:val="00E63B7F"/>
    <w:rsid w:val="00E651B5"/>
    <w:rsid w:val="00E66856"/>
    <w:rsid w:val="00E66CEB"/>
    <w:rsid w:val="00E67C7F"/>
    <w:rsid w:val="00E706BC"/>
    <w:rsid w:val="00E70E9E"/>
    <w:rsid w:val="00E7154B"/>
    <w:rsid w:val="00E7336B"/>
    <w:rsid w:val="00E73BA7"/>
    <w:rsid w:val="00E73D0E"/>
    <w:rsid w:val="00E75158"/>
    <w:rsid w:val="00E7646F"/>
    <w:rsid w:val="00E7791B"/>
    <w:rsid w:val="00E80FB5"/>
    <w:rsid w:val="00E829A1"/>
    <w:rsid w:val="00E839B5"/>
    <w:rsid w:val="00E85D20"/>
    <w:rsid w:val="00E86942"/>
    <w:rsid w:val="00E90521"/>
    <w:rsid w:val="00E92BD2"/>
    <w:rsid w:val="00E93428"/>
    <w:rsid w:val="00E93C5B"/>
    <w:rsid w:val="00E94D01"/>
    <w:rsid w:val="00E955BC"/>
    <w:rsid w:val="00E956A6"/>
    <w:rsid w:val="00EA42EC"/>
    <w:rsid w:val="00EA5D5C"/>
    <w:rsid w:val="00EA7F40"/>
    <w:rsid w:val="00EB2242"/>
    <w:rsid w:val="00EB2551"/>
    <w:rsid w:val="00EB35A7"/>
    <w:rsid w:val="00EB37C3"/>
    <w:rsid w:val="00EB3F04"/>
    <w:rsid w:val="00EB79C8"/>
    <w:rsid w:val="00EC3092"/>
    <w:rsid w:val="00EC4C1B"/>
    <w:rsid w:val="00EC4EE9"/>
    <w:rsid w:val="00EC5321"/>
    <w:rsid w:val="00EC5715"/>
    <w:rsid w:val="00EC6583"/>
    <w:rsid w:val="00EC6897"/>
    <w:rsid w:val="00EC6B9A"/>
    <w:rsid w:val="00ED1C74"/>
    <w:rsid w:val="00ED4D5C"/>
    <w:rsid w:val="00ED4FF9"/>
    <w:rsid w:val="00ED7CAE"/>
    <w:rsid w:val="00EE0DCE"/>
    <w:rsid w:val="00EE35C1"/>
    <w:rsid w:val="00EE3A55"/>
    <w:rsid w:val="00EE5A55"/>
    <w:rsid w:val="00EE6555"/>
    <w:rsid w:val="00EF0449"/>
    <w:rsid w:val="00EF28FB"/>
    <w:rsid w:val="00EF2AD5"/>
    <w:rsid w:val="00EF2D7C"/>
    <w:rsid w:val="00EF3D53"/>
    <w:rsid w:val="00EF5EB2"/>
    <w:rsid w:val="00EF623F"/>
    <w:rsid w:val="00F0018D"/>
    <w:rsid w:val="00F028C7"/>
    <w:rsid w:val="00F02945"/>
    <w:rsid w:val="00F02CC2"/>
    <w:rsid w:val="00F02F82"/>
    <w:rsid w:val="00F02FB9"/>
    <w:rsid w:val="00F04785"/>
    <w:rsid w:val="00F04914"/>
    <w:rsid w:val="00F05490"/>
    <w:rsid w:val="00F054A4"/>
    <w:rsid w:val="00F06958"/>
    <w:rsid w:val="00F06CBB"/>
    <w:rsid w:val="00F06E4E"/>
    <w:rsid w:val="00F10F2E"/>
    <w:rsid w:val="00F11D60"/>
    <w:rsid w:val="00F1651B"/>
    <w:rsid w:val="00F16792"/>
    <w:rsid w:val="00F2284D"/>
    <w:rsid w:val="00F22F32"/>
    <w:rsid w:val="00F23292"/>
    <w:rsid w:val="00F2373C"/>
    <w:rsid w:val="00F24748"/>
    <w:rsid w:val="00F2523B"/>
    <w:rsid w:val="00F26FF0"/>
    <w:rsid w:val="00F27D2C"/>
    <w:rsid w:val="00F30AAA"/>
    <w:rsid w:val="00F32BC2"/>
    <w:rsid w:val="00F33E38"/>
    <w:rsid w:val="00F34AFB"/>
    <w:rsid w:val="00F3645E"/>
    <w:rsid w:val="00F36FB3"/>
    <w:rsid w:val="00F37420"/>
    <w:rsid w:val="00F4020C"/>
    <w:rsid w:val="00F43605"/>
    <w:rsid w:val="00F473C7"/>
    <w:rsid w:val="00F50765"/>
    <w:rsid w:val="00F52E1F"/>
    <w:rsid w:val="00F52FD4"/>
    <w:rsid w:val="00F53299"/>
    <w:rsid w:val="00F53EB7"/>
    <w:rsid w:val="00F550E7"/>
    <w:rsid w:val="00F56B29"/>
    <w:rsid w:val="00F56C1B"/>
    <w:rsid w:val="00F600EB"/>
    <w:rsid w:val="00F603C2"/>
    <w:rsid w:val="00F6186B"/>
    <w:rsid w:val="00F625E8"/>
    <w:rsid w:val="00F6275D"/>
    <w:rsid w:val="00F64279"/>
    <w:rsid w:val="00F65597"/>
    <w:rsid w:val="00F66111"/>
    <w:rsid w:val="00F66117"/>
    <w:rsid w:val="00F7348C"/>
    <w:rsid w:val="00F74418"/>
    <w:rsid w:val="00F74904"/>
    <w:rsid w:val="00F75963"/>
    <w:rsid w:val="00F76EC6"/>
    <w:rsid w:val="00F77085"/>
    <w:rsid w:val="00F804F1"/>
    <w:rsid w:val="00F824D0"/>
    <w:rsid w:val="00F82BBF"/>
    <w:rsid w:val="00F835EF"/>
    <w:rsid w:val="00F8599C"/>
    <w:rsid w:val="00F8691B"/>
    <w:rsid w:val="00F90798"/>
    <w:rsid w:val="00F926DC"/>
    <w:rsid w:val="00F95259"/>
    <w:rsid w:val="00F96EDF"/>
    <w:rsid w:val="00FA09B2"/>
    <w:rsid w:val="00FA1172"/>
    <w:rsid w:val="00FA2117"/>
    <w:rsid w:val="00FA3994"/>
    <w:rsid w:val="00FA3F96"/>
    <w:rsid w:val="00FA66EA"/>
    <w:rsid w:val="00FA6DD7"/>
    <w:rsid w:val="00FA749C"/>
    <w:rsid w:val="00FA7F63"/>
    <w:rsid w:val="00FB305F"/>
    <w:rsid w:val="00FB47BD"/>
    <w:rsid w:val="00FC3D17"/>
    <w:rsid w:val="00FC46E6"/>
    <w:rsid w:val="00FC4DA0"/>
    <w:rsid w:val="00FC5C7D"/>
    <w:rsid w:val="00FC6166"/>
    <w:rsid w:val="00FC682F"/>
    <w:rsid w:val="00FD09A8"/>
    <w:rsid w:val="00FD0ECB"/>
    <w:rsid w:val="00FD109B"/>
    <w:rsid w:val="00FD1BF5"/>
    <w:rsid w:val="00FD22A0"/>
    <w:rsid w:val="00FD30AF"/>
    <w:rsid w:val="00FD3E98"/>
    <w:rsid w:val="00FD4FBC"/>
    <w:rsid w:val="00FD76EE"/>
    <w:rsid w:val="00FE0059"/>
    <w:rsid w:val="00FE095E"/>
    <w:rsid w:val="00FE2806"/>
    <w:rsid w:val="00FE30B7"/>
    <w:rsid w:val="00FE4DB8"/>
    <w:rsid w:val="00FE76A7"/>
    <w:rsid w:val="00FF00A5"/>
    <w:rsid w:val="00FF1968"/>
    <w:rsid w:val="00FF29F5"/>
    <w:rsid w:val="00FF36AD"/>
    <w:rsid w:val="00FF47B4"/>
    <w:rsid w:val="00FF73BF"/>
    <w:rsid w:val="00FF7E0A"/>
    <w:rsid w:val="01281A93"/>
    <w:rsid w:val="01FD2E51"/>
    <w:rsid w:val="0222795D"/>
    <w:rsid w:val="0273086B"/>
    <w:rsid w:val="02B33080"/>
    <w:rsid w:val="03516C2A"/>
    <w:rsid w:val="03774F35"/>
    <w:rsid w:val="03777674"/>
    <w:rsid w:val="03985C7D"/>
    <w:rsid w:val="039A405D"/>
    <w:rsid w:val="03C62929"/>
    <w:rsid w:val="03D72DE7"/>
    <w:rsid w:val="03E45B3E"/>
    <w:rsid w:val="060F0DF0"/>
    <w:rsid w:val="064216C6"/>
    <w:rsid w:val="0659602B"/>
    <w:rsid w:val="067D004A"/>
    <w:rsid w:val="068124F2"/>
    <w:rsid w:val="06D62D2C"/>
    <w:rsid w:val="07466D3A"/>
    <w:rsid w:val="080028EE"/>
    <w:rsid w:val="08530C85"/>
    <w:rsid w:val="08FD0388"/>
    <w:rsid w:val="09630D8D"/>
    <w:rsid w:val="09C71513"/>
    <w:rsid w:val="09D300D1"/>
    <w:rsid w:val="09D30F7F"/>
    <w:rsid w:val="0AC01942"/>
    <w:rsid w:val="0AFA4BBF"/>
    <w:rsid w:val="0B2E72C7"/>
    <w:rsid w:val="0BD4011D"/>
    <w:rsid w:val="0BD55995"/>
    <w:rsid w:val="0C987534"/>
    <w:rsid w:val="0CA3094D"/>
    <w:rsid w:val="0CFE4DC1"/>
    <w:rsid w:val="0D7B6C02"/>
    <w:rsid w:val="0E075F6F"/>
    <w:rsid w:val="0FB466B0"/>
    <w:rsid w:val="10930E9B"/>
    <w:rsid w:val="11D0244B"/>
    <w:rsid w:val="11FD5C45"/>
    <w:rsid w:val="1250401C"/>
    <w:rsid w:val="12D511D5"/>
    <w:rsid w:val="132035A6"/>
    <w:rsid w:val="135B1DF2"/>
    <w:rsid w:val="137C3474"/>
    <w:rsid w:val="13DF413D"/>
    <w:rsid w:val="14B552DF"/>
    <w:rsid w:val="150631AD"/>
    <w:rsid w:val="152F2F86"/>
    <w:rsid w:val="15CC7E09"/>
    <w:rsid w:val="16276C03"/>
    <w:rsid w:val="16B21D3B"/>
    <w:rsid w:val="16E24139"/>
    <w:rsid w:val="170F0C33"/>
    <w:rsid w:val="17226867"/>
    <w:rsid w:val="180007BE"/>
    <w:rsid w:val="181C66CF"/>
    <w:rsid w:val="192E35F3"/>
    <w:rsid w:val="1A6E1B33"/>
    <w:rsid w:val="1AD06756"/>
    <w:rsid w:val="1B047F68"/>
    <w:rsid w:val="1B474EA2"/>
    <w:rsid w:val="1B5B21F6"/>
    <w:rsid w:val="1C330D62"/>
    <w:rsid w:val="1C3B44E8"/>
    <w:rsid w:val="1C497E2A"/>
    <w:rsid w:val="1D070FFB"/>
    <w:rsid w:val="1D157D7A"/>
    <w:rsid w:val="1D78034B"/>
    <w:rsid w:val="1D860B7E"/>
    <w:rsid w:val="1E015F3A"/>
    <w:rsid w:val="1E5F1152"/>
    <w:rsid w:val="1F2C732E"/>
    <w:rsid w:val="1FA16640"/>
    <w:rsid w:val="1FAA075C"/>
    <w:rsid w:val="206706D1"/>
    <w:rsid w:val="21964DFD"/>
    <w:rsid w:val="23EB3172"/>
    <w:rsid w:val="23F858E2"/>
    <w:rsid w:val="247513A1"/>
    <w:rsid w:val="24FC7F7D"/>
    <w:rsid w:val="25344C05"/>
    <w:rsid w:val="25454858"/>
    <w:rsid w:val="2597514D"/>
    <w:rsid w:val="27247978"/>
    <w:rsid w:val="27394EB2"/>
    <w:rsid w:val="27B02A42"/>
    <w:rsid w:val="290A2B37"/>
    <w:rsid w:val="290F13E3"/>
    <w:rsid w:val="29237CE1"/>
    <w:rsid w:val="295C3186"/>
    <w:rsid w:val="29732D2A"/>
    <w:rsid w:val="2A5E0F40"/>
    <w:rsid w:val="2A6A03C0"/>
    <w:rsid w:val="2B4D3342"/>
    <w:rsid w:val="2BDC13E8"/>
    <w:rsid w:val="2C35005E"/>
    <w:rsid w:val="2D7F4EB3"/>
    <w:rsid w:val="2E4D2E03"/>
    <w:rsid w:val="2E9651B5"/>
    <w:rsid w:val="2E9928E0"/>
    <w:rsid w:val="2EA41B33"/>
    <w:rsid w:val="2EBE6008"/>
    <w:rsid w:val="2EFA59BE"/>
    <w:rsid w:val="2F9E1B21"/>
    <w:rsid w:val="2FB932F4"/>
    <w:rsid w:val="310F704E"/>
    <w:rsid w:val="31A10066"/>
    <w:rsid w:val="32024061"/>
    <w:rsid w:val="32D71C99"/>
    <w:rsid w:val="32FC5E04"/>
    <w:rsid w:val="33274AF8"/>
    <w:rsid w:val="335B5CAE"/>
    <w:rsid w:val="33B57CD6"/>
    <w:rsid w:val="34820AFC"/>
    <w:rsid w:val="35066C70"/>
    <w:rsid w:val="35151DD8"/>
    <w:rsid w:val="358931C8"/>
    <w:rsid w:val="35E043F7"/>
    <w:rsid w:val="364F4412"/>
    <w:rsid w:val="365028F0"/>
    <w:rsid w:val="373C7CDF"/>
    <w:rsid w:val="37BE7040"/>
    <w:rsid w:val="39477140"/>
    <w:rsid w:val="39523670"/>
    <w:rsid w:val="398268AC"/>
    <w:rsid w:val="39A4566F"/>
    <w:rsid w:val="3A8B3937"/>
    <w:rsid w:val="3B267312"/>
    <w:rsid w:val="3B5F56F9"/>
    <w:rsid w:val="3BCD4780"/>
    <w:rsid w:val="3C0F41EB"/>
    <w:rsid w:val="3C2F7A01"/>
    <w:rsid w:val="3C836BC3"/>
    <w:rsid w:val="3D593E8C"/>
    <w:rsid w:val="3DAF1262"/>
    <w:rsid w:val="3EEF05F7"/>
    <w:rsid w:val="4039719F"/>
    <w:rsid w:val="40B858BC"/>
    <w:rsid w:val="40C335CB"/>
    <w:rsid w:val="40FE18D7"/>
    <w:rsid w:val="411E0B85"/>
    <w:rsid w:val="42834427"/>
    <w:rsid w:val="42A61B46"/>
    <w:rsid w:val="43312BF2"/>
    <w:rsid w:val="447F63CE"/>
    <w:rsid w:val="4545710C"/>
    <w:rsid w:val="465810C1"/>
    <w:rsid w:val="46AD482C"/>
    <w:rsid w:val="470A45B1"/>
    <w:rsid w:val="47310FA1"/>
    <w:rsid w:val="47811F51"/>
    <w:rsid w:val="480E2214"/>
    <w:rsid w:val="48B81E35"/>
    <w:rsid w:val="48F76653"/>
    <w:rsid w:val="49391984"/>
    <w:rsid w:val="494552C4"/>
    <w:rsid w:val="49830203"/>
    <w:rsid w:val="4A723C58"/>
    <w:rsid w:val="4AA06B93"/>
    <w:rsid w:val="4AC92FBB"/>
    <w:rsid w:val="4AD55B10"/>
    <w:rsid w:val="4C383968"/>
    <w:rsid w:val="4CC43F81"/>
    <w:rsid w:val="4CFF1501"/>
    <w:rsid w:val="4DB53E69"/>
    <w:rsid w:val="4DC2042B"/>
    <w:rsid w:val="4DDE1EAC"/>
    <w:rsid w:val="4EA10878"/>
    <w:rsid w:val="4ECF18DC"/>
    <w:rsid w:val="4F755271"/>
    <w:rsid w:val="4F8050FF"/>
    <w:rsid w:val="50386AAA"/>
    <w:rsid w:val="503D1766"/>
    <w:rsid w:val="50F22FE7"/>
    <w:rsid w:val="523A78CD"/>
    <w:rsid w:val="52631353"/>
    <w:rsid w:val="5333277D"/>
    <w:rsid w:val="538708F0"/>
    <w:rsid w:val="539A6F7E"/>
    <w:rsid w:val="54242E54"/>
    <w:rsid w:val="550E4A05"/>
    <w:rsid w:val="58192794"/>
    <w:rsid w:val="590634D8"/>
    <w:rsid w:val="597638E0"/>
    <w:rsid w:val="59893102"/>
    <w:rsid w:val="599A0390"/>
    <w:rsid w:val="59E648CF"/>
    <w:rsid w:val="5A210B67"/>
    <w:rsid w:val="5B224AF3"/>
    <w:rsid w:val="5B4F2CD5"/>
    <w:rsid w:val="5C514838"/>
    <w:rsid w:val="5C603089"/>
    <w:rsid w:val="5CBE758C"/>
    <w:rsid w:val="5CE6145E"/>
    <w:rsid w:val="5D4759E4"/>
    <w:rsid w:val="5DB408C2"/>
    <w:rsid w:val="5DCB066D"/>
    <w:rsid w:val="5E52066F"/>
    <w:rsid w:val="5EA902B4"/>
    <w:rsid w:val="5F6B2190"/>
    <w:rsid w:val="5F8B10A0"/>
    <w:rsid w:val="5F8F47E3"/>
    <w:rsid w:val="5FA0576E"/>
    <w:rsid w:val="60575AEE"/>
    <w:rsid w:val="60BA1962"/>
    <w:rsid w:val="613715C7"/>
    <w:rsid w:val="62443AA9"/>
    <w:rsid w:val="62465B90"/>
    <w:rsid w:val="626A3A22"/>
    <w:rsid w:val="62811AD1"/>
    <w:rsid w:val="62AB6160"/>
    <w:rsid w:val="63240634"/>
    <w:rsid w:val="63564074"/>
    <w:rsid w:val="63E00724"/>
    <w:rsid w:val="6478698A"/>
    <w:rsid w:val="654710AE"/>
    <w:rsid w:val="654D2A78"/>
    <w:rsid w:val="65837118"/>
    <w:rsid w:val="65B00BC4"/>
    <w:rsid w:val="66507396"/>
    <w:rsid w:val="66C343CE"/>
    <w:rsid w:val="670818F0"/>
    <w:rsid w:val="67294015"/>
    <w:rsid w:val="67440CAB"/>
    <w:rsid w:val="678A5E57"/>
    <w:rsid w:val="67E64E52"/>
    <w:rsid w:val="68017C8D"/>
    <w:rsid w:val="68C61866"/>
    <w:rsid w:val="6930471B"/>
    <w:rsid w:val="694A57D4"/>
    <w:rsid w:val="6A7C5E17"/>
    <w:rsid w:val="6A9938E2"/>
    <w:rsid w:val="6ABF3B8E"/>
    <w:rsid w:val="6ADE1AF6"/>
    <w:rsid w:val="6B0D446E"/>
    <w:rsid w:val="6BE712D3"/>
    <w:rsid w:val="6C0C512B"/>
    <w:rsid w:val="6C865790"/>
    <w:rsid w:val="6CE463EA"/>
    <w:rsid w:val="6E0E5912"/>
    <w:rsid w:val="6E5D28DA"/>
    <w:rsid w:val="6EA06CC2"/>
    <w:rsid w:val="6EB54C74"/>
    <w:rsid w:val="6ECE3EA8"/>
    <w:rsid w:val="6F0C3B6A"/>
    <w:rsid w:val="6FB24A12"/>
    <w:rsid w:val="70BA1EAD"/>
    <w:rsid w:val="7141019C"/>
    <w:rsid w:val="718462F5"/>
    <w:rsid w:val="71BD2C85"/>
    <w:rsid w:val="71C02CF2"/>
    <w:rsid w:val="71D83430"/>
    <w:rsid w:val="722B17C0"/>
    <w:rsid w:val="7257796A"/>
    <w:rsid w:val="729A104A"/>
    <w:rsid w:val="72D44EDD"/>
    <w:rsid w:val="72F86392"/>
    <w:rsid w:val="73881A17"/>
    <w:rsid w:val="746D3B8B"/>
    <w:rsid w:val="74DE0F3C"/>
    <w:rsid w:val="74EE44BB"/>
    <w:rsid w:val="74F53273"/>
    <w:rsid w:val="750903C4"/>
    <w:rsid w:val="757E7B78"/>
    <w:rsid w:val="75A1317F"/>
    <w:rsid w:val="766F77DD"/>
    <w:rsid w:val="76E30422"/>
    <w:rsid w:val="76EB1212"/>
    <w:rsid w:val="779B2DCD"/>
    <w:rsid w:val="783B2925"/>
    <w:rsid w:val="784F1575"/>
    <w:rsid w:val="79514ABB"/>
    <w:rsid w:val="7A2C6801"/>
    <w:rsid w:val="7A2E4B0E"/>
    <w:rsid w:val="7B961FB2"/>
    <w:rsid w:val="7BC85150"/>
    <w:rsid w:val="7BD101DF"/>
    <w:rsid w:val="7CC22809"/>
    <w:rsid w:val="7D367143"/>
    <w:rsid w:val="7D86128E"/>
    <w:rsid w:val="7DEE7639"/>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3"/>
    <w:autoRedefine/>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2"/>
    <w:autoRedefine/>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40"/>
    <w:autoRedefine/>
    <w:qFormat/>
    <w:uiPriority w:val="0"/>
    <w:pPr>
      <w:keepNext/>
      <w:keepLines/>
      <w:spacing w:before="260" w:after="260" w:line="413" w:lineRule="auto"/>
      <w:outlineLvl w:val="2"/>
    </w:pPr>
    <w:rPr>
      <w:kern w:val="0"/>
      <w:sz w:val="28"/>
      <w:szCs w:val="20"/>
    </w:rPr>
  </w:style>
  <w:style w:type="paragraph" w:styleId="6">
    <w:name w:val="heading 4"/>
    <w:basedOn w:val="1"/>
    <w:next w:val="1"/>
    <w:autoRedefine/>
    <w:semiHidden/>
    <w:unhideWhenUsed/>
    <w:qFormat/>
    <w:uiPriority w:val="0"/>
    <w:pPr>
      <w:keepNext/>
      <w:keepLines/>
      <w:numPr>
        <w:ilvl w:val="3"/>
        <w:numId w:val="1"/>
      </w:numPr>
      <w:outlineLvl w:val="3"/>
    </w:pPr>
    <w:rPr>
      <w:rFonts w:ascii="仿宋_GB2312" w:hAnsi="仿宋_GB2312" w:eastAsia="仿宋_GB2312" w:cs="仿宋_GB2312"/>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autoRedefine/>
    <w:qFormat/>
    <w:uiPriority w:val="0"/>
    <w:pPr>
      <w:spacing w:before="120"/>
    </w:pPr>
    <w:rPr>
      <w:rFonts w:ascii="Arial" w:hAnsi="Arial"/>
      <w:sz w:val="24"/>
    </w:rPr>
  </w:style>
  <w:style w:type="paragraph" w:styleId="7">
    <w:name w:val="toc 7"/>
    <w:basedOn w:val="1"/>
    <w:next w:val="1"/>
    <w:autoRedefine/>
    <w:qFormat/>
    <w:uiPriority w:val="0"/>
    <w:pPr>
      <w:ind w:left="2520" w:leftChars="1200"/>
    </w:pPr>
  </w:style>
  <w:style w:type="paragraph" w:styleId="8">
    <w:name w:val="Document Map"/>
    <w:basedOn w:val="1"/>
    <w:link w:val="36"/>
    <w:autoRedefine/>
    <w:qFormat/>
    <w:uiPriority w:val="0"/>
    <w:rPr>
      <w:rFonts w:ascii="宋体"/>
      <w:sz w:val="18"/>
      <w:szCs w:val="18"/>
    </w:rPr>
  </w:style>
  <w:style w:type="paragraph" w:styleId="9">
    <w:name w:val="annotation text"/>
    <w:basedOn w:val="1"/>
    <w:link w:val="34"/>
    <w:autoRedefine/>
    <w:qFormat/>
    <w:uiPriority w:val="0"/>
    <w:pPr>
      <w:jc w:val="left"/>
    </w:pPr>
    <w:rPr>
      <w:rFonts w:ascii="Calibri" w:hAnsi="Calibri"/>
      <w:szCs w:val="22"/>
    </w:rPr>
  </w:style>
  <w:style w:type="paragraph" w:styleId="10">
    <w:name w:val="Body Text"/>
    <w:basedOn w:val="1"/>
    <w:autoRedefine/>
    <w:qFormat/>
    <w:uiPriority w:val="0"/>
    <w:pPr>
      <w:spacing w:after="120"/>
    </w:pPr>
  </w:style>
  <w:style w:type="paragraph" w:styleId="11">
    <w:name w:val="Body Text Indent"/>
    <w:basedOn w:val="1"/>
    <w:link w:val="44"/>
    <w:autoRedefine/>
    <w:qFormat/>
    <w:uiPriority w:val="0"/>
    <w:pPr>
      <w:spacing w:after="120"/>
      <w:ind w:left="420" w:leftChars="200"/>
    </w:pPr>
  </w:style>
  <w:style w:type="paragraph" w:styleId="12">
    <w:name w:val="toc 5"/>
    <w:basedOn w:val="1"/>
    <w:next w:val="1"/>
    <w:autoRedefine/>
    <w:qFormat/>
    <w:uiPriority w:val="0"/>
    <w:pPr>
      <w:ind w:left="1680" w:leftChars="800"/>
    </w:pPr>
  </w:style>
  <w:style w:type="paragraph" w:styleId="13">
    <w:name w:val="toc 3"/>
    <w:basedOn w:val="1"/>
    <w:next w:val="1"/>
    <w:autoRedefine/>
    <w:qFormat/>
    <w:uiPriority w:val="39"/>
    <w:pPr>
      <w:ind w:left="840" w:leftChars="400"/>
    </w:pPr>
  </w:style>
  <w:style w:type="paragraph" w:styleId="14">
    <w:name w:val="Plain Text"/>
    <w:basedOn w:val="1"/>
    <w:next w:val="6"/>
    <w:link w:val="51"/>
    <w:autoRedefine/>
    <w:qFormat/>
    <w:uiPriority w:val="0"/>
    <w:pPr>
      <w:adjustRightInd w:val="0"/>
      <w:spacing w:line="312" w:lineRule="atLeast"/>
      <w:textAlignment w:val="baseline"/>
    </w:pPr>
    <w:rPr>
      <w:rFonts w:ascii="宋体" w:hAnsi="Courier New"/>
    </w:rPr>
  </w:style>
  <w:style w:type="paragraph" w:styleId="15">
    <w:name w:val="toc 8"/>
    <w:basedOn w:val="1"/>
    <w:next w:val="1"/>
    <w:autoRedefine/>
    <w:qFormat/>
    <w:uiPriority w:val="0"/>
    <w:pPr>
      <w:ind w:left="2940" w:leftChars="1400"/>
    </w:pPr>
  </w:style>
  <w:style w:type="paragraph" w:styleId="16">
    <w:name w:val="Date"/>
    <w:basedOn w:val="1"/>
    <w:next w:val="1"/>
    <w:link w:val="53"/>
    <w:autoRedefine/>
    <w:qFormat/>
    <w:uiPriority w:val="0"/>
    <w:pPr>
      <w:ind w:left="100" w:leftChars="2500"/>
    </w:pPr>
  </w:style>
  <w:style w:type="paragraph" w:styleId="17">
    <w:name w:val="Balloon Text"/>
    <w:basedOn w:val="1"/>
    <w:link w:val="37"/>
    <w:autoRedefine/>
    <w:qFormat/>
    <w:uiPriority w:val="0"/>
    <w:rPr>
      <w:sz w:val="18"/>
      <w:szCs w:val="18"/>
    </w:rPr>
  </w:style>
  <w:style w:type="paragraph" w:styleId="18">
    <w:name w:val="footer"/>
    <w:basedOn w:val="1"/>
    <w:autoRedefine/>
    <w:qFormat/>
    <w:uiPriority w:val="0"/>
    <w:pPr>
      <w:tabs>
        <w:tab w:val="center" w:pos="4153"/>
        <w:tab w:val="right" w:pos="8306"/>
      </w:tabs>
      <w:snapToGrid w:val="0"/>
      <w:jc w:val="left"/>
    </w:pPr>
    <w:rPr>
      <w:sz w:val="18"/>
    </w:rPr>
  </w:style>
  <w:style w:type="paragraph" w:styleId="1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autoRedefine/>
    <w:qFormat/>
    <w:uiPriority w:val="39"/>
  </w:style>
  <w:style w:type="paragraph" w:styleId="21">
    <w:name w:val="toc 4"/>
    <w:basedOn w:val="1"/>
    <w:next w:val="1"/>
    <w:autoRedefine/>
    <w:qFormat/>
    <w:uiPriority w:val="0"/>
    <w:pPr>
      <w:ind w:left="1260" w:leftChars="600"/>
    </w:pPr>
  </w:style>
  <w:style w:type="paragraph" w:styleId="22">
    <w:name w:val="toc 6"/>
    <w:basedOn w:val="1"/>
    <w:next w:val="1"/>
    <w:autoRedefine/>
    <w:qFormat/>
    <w:uiPriority w:val="0"/>
    <w:pPr>
      <w:ind w:left="2100" w:leftChars="1000"/>
    </w:pPr>
  </w:style>
  <w:style w:type="paragraph" w:styleId="23">
    <w:name w:val="Body Text Indent 3"/>
    <w:basedOn w:val="1"/>
    <w:link w:val="43"/>
    <w:autoRedefine/>
    <w:qFormat/>
    <w:uiPriority w:val="0"/>
    <w:pPr>
      <w:spacing w:after="120"/>
      <w:ind w:left="420" w:leftChars="200"/>
    </w:pPr>
    <w:rPr>
      <w:sz w:val="16"/>
      <w:szCs w:val="16"/>
    </w:rPr>
  </w:style>
  <w:style w:type="paragraph" w:styleId="24">
    <w:name w:val="toc 2"/>
    <w:basedOn w:val="1"/>
    <w:next w:val="1"/>
    <w:autoRedefine/>
    <w:qFormat/>
    <w:uiPriority w:val="39"/>
    <w:pPr>
      <w:ind w:left="420" w:leftChars="200"/>
    </w:pPr>
  </w:style>
  <w:style w:type="paragraph" w:styleId="25">
    <w:name w:val="toc 9"/>
    <w:basedOn w:val="1"/>
    <w:next w:val="1"/>
    <w:autoRedefine/>
    <w:qFormat/>
    <w:uiPriority w:val="0"/>
    <w:pPr>
      <w:ind w:left="3360" w:leftChars="1600"/>
    </w:pPr>
  </w:style>
  <w:style w:type="paragraph" w:styleId="26">
    <w:name w:val="Normal (Web)"/>
    <w:basedOn w:val="1"/>
    <w:autoRedefine/>
    <w:qFormat/>
    <w:uiPriority w:val="0"/>
    <w:rPr>
      <w:sz w:val="24"/>
    </w:rPr>
  </w:style>
  <w:style w:type="paragraph" w:styleId="27">
    <w:name w:val="annotation subject"/>
    <w:basedOn w:val="9"/>
    <w:next w:val="9"/>
    <w:link w:val="35"/>
    <w:autoRedefine/>
    <w:qFormat/>
    <w:uiPriority w:val="0"/>
    <w:rPr>
      <w:rFonts w:ascii="Times New Roman" w:hAnsi="Times New Roman"/>
      <w:b/>
      <w:bCs/>
      <w:szCs w:val="24"/>
    </w:rPr>
  </w:style>
  <w:style w:type="table" w:styleId="29">
    <w:name w:val="Table Grid"/>
    <w:basedOn w:val="28"/>
    <w:autoRedefine/>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autoRedefine/>
    <w:unhideWhenUsed/>
    <w:qFormat/>
    <w:uiPriority w:val="99"/>
    <w:rPr>
      <w:color w:val="0000FF"/>
      <w:u w:val="single"/>
    </w:rPr>
  </w:style>
  <w:style w:type="character" w:styleId="32">
    <w:name w:val="annotation reference"/>
    <w:autoRedefine/>
    <w:qFormat/>
    <w:uiPriority w:val="0"/>
    <w:rPr>
      <w:sz w:val="21"/>
      <w:szCs w:val="21"/>
    </w:rPr>
  </w:style>
  <w:style w:type="character" w:customStyle="1" w:styleId="33">
    <w:name w:val="标题 1 字符"/>
    <w:link w:val="2"/>
    <w:autoRedefine/>
    <w:qFormat/>
    <w:uiPriority w:val="0"/>
    <w:rPr>
      <w:rFonts w:ascii="Times New Roman" w:hAnsi="Times New Roman" w:eastAsia="宋体"/>
      <w:b/>
      <w:kern w:val="44"/>
      <w:sz w:val="28"/>
      <w:szCs w:val="20"/>
    </w:rPr>
  </w:style>
  <w:style w:type="character" w:customStyle="1" w:styleId="34">
    <w:name w:val="批注文字 字符"/>
    <w:link w:val="9"/>
    <w:autoRedefine/>
    <w:qFormat/>
    <w:uiPriority w:val="0"/>
    <w:rPr>
      <w:rFonts w:ascii="Calibri" w:hAnsi="Calibri"/>
      <w:kern w:val="2"/>
      <w:sz w:val="21"/>
      <w:szCs w:val="22"/>
    </w:rPr>
  </w:style>
  <w:style w:type="character" w:customStyle="1" w:styleId="35">
    <w:name w:val="批注主题 字符"/>
    <w:basedOn w:val="34"/>
    <w:link w:val="27"/>
    <w:autoRedefine/>
    <w:qFormat/>
    <w:uiPriority w:val="0"/>
    <w:rPr>
      <w:rFonts w:ascii="Calibri" w:hAnsi="Calibri"/>
      <w:kern w:val="2"/>
      <w:sz w:val="21"/>
      <w:szCs w:val="22"/>
    </w:rPr>
  </w:style>
  <w:style w:type="character" w:customStyle="1" w:styleId="36">
    <w:name w:val="文档结构图 字符"/>
    <w:link w:val="8"/>
    <w:autoRedefine/>
    <w:qFormat/>
    <w:uiPriority w:val="0"/>
    <w:rPr>
      <w:rFonts w:ascii="宋体"/>
      <w:kern w:val="2"/>
      <w:sz w:val="18"/>
      <w:szCs w:val="18"/>
    </w:rPr>
  </w:style>
  <w:style w:type="character" w:customStyle="1" w:styleId="37">
    <w:name w:val="批注框文本 字符"/>
    <w:link w:val="17"/>
    <w:autoRedefine/>
    <w:qFormat/>
    <w:uiPriority w:val="0"/>
    <w:rPr>
      <w:kern w:val="2"/>
      <w:sz w:val="18"/>
      <w:szCs w:val="18"/>
    </w:rPr>
  </w:style>
  <w:style w:type="character" w:customStyle="1" w:styleId="38">
    <w:name w:val="1101 Char"/>
    <w:link w:val="39"/>
    <w:autoRedefine/>
    <w:qFormat/>
    <w:uiPriority w:val="0"/>
    <w:rPr>
      <w:rFonts w:ascii="宋体" w:hAnsi="宋体" w:cs="宋体"/>
      <w:kern w:val="2"/>
      <w:sz w:val="28"/>
      <w:szCs w:val="28"/>
    </w:rPr>
  </w:style>
  <w:style w:type="paragraph" w:customStyle="1" w:styleId="39">
    <w:name w:val="1101"/>
    <w:basedOn w:val="1"/>
    <w:link w:val="38"/>
    <w:autoRedefine/>
    <w:qFormat/>
    <w:uiPriority w:val="0"/>
    <w:pPr>
      <w:ind w:firstLine="560" w:firstLineChars="200"/>
      <w:jc w:val="left"/>
    </w:pPr>
    <w:rPr>
      <w:rFonts w:ascii="宋体" w:hAnsi="宋体"/>
      <w:sz w:val="28"/>
      <w:szCs w:val="28"/>
    </w:rPr>
  </w:style>
  <w:style w:type="character" w:customStyle="1" w:styleId="40">
    <w:name w:val="标题 3 字符"/>
    <w:link w:val="5"/>
    <w:autoRedefine/>
    <w:qFormat/>
    <w:uiPriority w:val="0"/>
    <w:rPr>
      <w:rFonts w:eastAsia="宋体"/>
      <w:sz w:val="28"/>
    </w:rPr>
  </w:style>
  <w:style w:type="character" w:customStyle="1" w:styleId="41">
    <w:name w:val="正文文本缩进 Char"/>
    <w:basedOn w:val="30"/>
    <w:autoRedefine/>
    <w:qFormat/>
    <w:uiPriority w:val="0"/>
    <w:rPr>
      <w:kern w:val="2"/>
      <w:sz w:val="21"/>
      <w:szCs w:val="24"/>
    </w:rPr>
  </w:style>
  <w:style w:type="character" w:customStyle="1" w:styleId="42">
    <w:name w:val="标题 2 字符"/>
    <w:link w:val="4"/>
    <w:autoRedefine/>
    <w:qFormat/>
    <w:uiPriority w:val="0"/>
    <w:rPr>
      <w:rFonts w:ascii="Arial" w:hAnsi="Arial" w:eastAsia="宋体"/>
      <w:sz w:val="28"/>
      <w:szCs w:val="20"/>
    </w:rPr>
  </w:style>
  <w:style w:type="character" w:customStyle="1" w:styleId="43">
    <w:name w:val="正文文本缩进 3 字符"/>
    <w:link w:val="23"/>
    <w:autoRedefine/>
    <w:qFormat/>
    <w:uiPriority w:val="0"/>
    <w:rPr>
      <w:kern w:val="2"/>
      <w:sz w:val="16"/>
      <w:szCs w:val="16"/>
    </w:rPr>
  </w:style>
  <w:style w:type="character" w:customStyle="1" w:styleId="44">
    <w:name w:val="正文文本缩进 字符"/>
    <w:basedOn w:val="30"/>
    <w:link w:val="11"/>
    <w:autoRedefine/>
    <w:qFormat/>
    <w:uiPriority w:val="0"/>
    <w:rPr>
      <w:kern w:val="2"/>
      <w:sz w:val="21"/>
      <w:szCs w:val="24"/>
    </w:rPr>
  </w:style>
  <w:style w:type="paragraph" w:customStyle="1" w:styleId="45">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46">
    <w:name w:val="纯文本1"/>
    <w:basedOn w:val="1"/>
    <w:autoRedefine/>
    <w:qFormat/>
    <w:uiPriority w:val="0"/>
    <w:rPr>
      <w:rFonts w:ascii="宋体" w:hAnsi="Courier New" w:cs="黑体"/>
      <w:szCs w:val="21"/>
    </w:rPr>
  </w:style>
  <w:style w:type="paragraph" w:customStyle="1" w:styleId="47">
    <w:name w:val="ST20_2"/>
    <w:basedOn w:val="1"/>
    <w:autoRedefine/>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8">
    <w:name w:val="款下正文"/>
    <w:basedOn w:val="1"/>
    <w:autoRedefine/>
    <w:qFormat/>
    <w:uiPriority w:val="0"/>
    <w:pPr>
      <w:spacing w:beforeLines="50" w:afterLines="50" w:line="480" w:lineRule="exact"/>
      <w:ind w:firstLine="480" w:firstLineChars="200"/>
    </w:pPr>
    <w:rPr>
      <w:sz w:val="24"/>
      <w:szCs w:val="28"/>
    </w:rPr>
  </w:style>
  <w:style w:type="paragraph" w:customStyle="1" w:styleId="49">
    <w:name w:val="TOC 标题1"/>
    <w:basedOn w:val="2"/>
    <w:next w:val="1"/>
    <w:autoRedefine/>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50">
    <w:name w:val="样式1"/>
    <w:basedOn w:val="2"/>
    <w:autoRedefine/>
    <w:qFormat/>
    <w:uiPriority w:val="0"/>
  </w:style>
  <w:style w:type="character" w:customStyle="1" w:styleId="51">
    <w:name w:val="纯文本 字符"/>
    <w:link w:val="14"/>
    <w:autoRedefine/>
    <w:qFormat/>
    <w:uiPriority w:val="0"/>
    <w:rPr>
      <w:rFonts w:ascii="宋体" w:hAnsi="Courier New"/>
      <w:kern w:val="2"/>
      <w:sz w:val="21"/>
      <w:szCs w:val="24"/>
    </w:rPr>
  </w:style>
  <w:style w:type="paragraph" w:customStyle="1" w:styleId="52">
    <w:name w:val="列出段落1"/>
    <w:basedOn w:val="1"/>
    <w:autoRedefine/>
    <w:qFormat/>
    <w:uiPriority w:val="34"/>
    <w:pPr>
      <w:ind w:firstLine="420" w:firstLineChars="200"/>
    </w:pPr>
    <w:rPr>
      <w:rFonts w:ascii="Calibri" w:hAnsi="Calibri"/>
      <w:szCs w:val="22"/>
    </w:rPr>
  </w:style>
  <w:style w:type="character" w:customStyle="1" w:styleId="53">
    <w:name w:val="日期 字符"/>
    <w:basedOn w:val="30"/>
    <w:link w:val="16"/>
    <w:autoRedefine/>
    <w:qFormat/>
    <w:uiPriority w:val="0"/>
    <w:rPr>
      <w:kern w:val="2"/>
      <w:sz w:val="21"/>
      <w:szCs w:val="24"/>
    </w:rPr>
  </w:style>
  <w:style w:type="character" w:customStyle="1" w:styleId="54">
    <w:name w:val="NormalCharacter"/>
    <w:autoRedefine/>
    <w:semiHidden/>
    <w:qFormat/>
    <w:uiPriority w:val="0"/>
  </w:style>
  <w:style w:type="paragraph" w:customStyle="1" w:styleId="55">
    <w:name w:val="修订2"/>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56">
    <w:name w:val="修订3"/>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57">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6907-9592-43BA-9565-60D310DAC9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12359</Words>
  <Characters>12961</Characters>
  <Lines>139</Lines>
  <Paragraphs>39</Paragraphs>
  <TotalTime>1</TotalTime>
  <ScaleCrop>false</ScaleCrop>
  <LinksUpToDate>false</LinksUpToDate>
  <CharactersWithSpaces>14060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2024-06-26T00:57:00Z</dcterms:created>
  <dc:creator>jkghj</dc:creator>
  <cp:lastModifiedBy>飛鳥了</cp:lastModifiedBy>
  <cp:lastPrinted>2024-06-11T07:46:00Z</cp:lastPrinted>
  <dcterms:modified xsi:type="dcterms:W3CDTF">2024-06-26T07:13:56Z</dcterms:modified>
  <dc:title>南宁市轨道交通3号线工程可行性研究报告(含选线勘察)编制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DC804D2BADF6435685B181E0A9DECB90_13</vt:lpwstr>
  </property>
</Properties>
</file>